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01C6727C" w14:textId="77777777" w:rsidTr="00B03193">
        <w:trPr>
          <w:trHeight w:val="561"/>
        </w:trPr>
        <w:tc>
          <w:tcPr>
            <w:tcW w:w="7195" w:type="dxa"/>
            <w:vMerge w:val="restart"/>
            <w:tcMar>
              <w:left w:w="0" w:type="dxa"/>
              <w:right w:w="0" w:type="dxa"/>
            </w:tcMar>
          </w:tcPr>
          <w:p w14:paraId="72E8EF1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6D2A1076" w14:textId="77777777" w:rsidR="004C5B6A" w:rsidRPr="00C610C8" w:rsidRDefault="004C5B6A" w:rsidP="00B03193">
            <w:pPr>
              <w:pStyle w:val="D02Legalentity"/>
              <w:framePr w:wrap="auto"/>
            </w:pPr>
          </w:p>
        </w:tc>
      </w:tr>
      <w:tr w:rsidR="00317376" w:rsidRPr="00C610C8" w14:paraId="4A5BA5C8" w14:textId="77777777" w:rsidTr="00B03193">
        <w:trPr>
          <w:trHeight w:val="374"/>
        </w:trPr>
        <w:tc>
          <w:tcPr>
            <w:tcW w:w="7195" w:type="dxa"/>
            <w:vMerge/>
            <w:tcMar>
              <w:left w:w="0" w:type="dxa"/>
              <w:right w:w="0" w:type="dxa"/>
            </w:tcMar>
          </w:tcPr>
          <w:p w14:paraId="3522BD03"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0B9FE40"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731A6835" w14:textId="77777777" w:rsidTr="00B03193">
        <w:trPr>
          <w:trHeight w:val="958"/>
        </w:trPr>
        <w:tc>
          <w:tcPr>
            <w:tcW w:w="7195" w:type="dxa"/>
            <w:vMerge/>
            <w:tcMar>
              <w:left w:w="0" w:type="dxa"/>
              <w:right w:w="0" w:type="dxa"/>
            </w:tcMar>
          </w:tcPr>
          <w:p w14:paraId="38F3BCE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79A2BC30" w14:textId="59DE6397" w:rsidR="00317376" w:rsidRPr="00C610C8" w:rsidRDefault="00AE6ED3" w:rsidP="00B03193">
            <w:pPr>
              <w:pStyle w:val="D04Date"/>
              <w:framePr w:hSpace="0" w:wrap="auto" w:vAnchor="margin" w:hAnchor="text" w:yAlign="inline"/>
            </w:pPr>
            <w:r>
              <w:t xml:space="preserve">10 </w:t>
            </w:r>
            <w:proofErr w:type="spellStart"/>
            <w:r w:rsidR="00ED4266">
              <w:t>marzo</w:t>
            </w:r>
            <w:proofErr w:type="spellEnd"/>
            <w:r>
              <w:t xml:space="preserve"> 2026</w:t>
            </w:r>
          </w:p>
        </w:tc>
      </w:tr>
    </w:tbl>
    <w:p w14:paraId="571CB350"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3C742FA" w14:textId="56490DFE" w:rsidR="00AE6ED3" w:rsidRPr="00ED4266" w:rsidRDefault="00AE6ED3" w:rsidP="00AE6ED3">
      <w:pPr>
        <w:pStyle w:val="A01berschrift1"/>
        <w:rPr>
          <w:lang w:val="it-IT"/>
        </w:rPr>
      </w:pPr>
      <w:r w:rsidRPr="00ED4266">
        <w:rPr>
          <w:lang w:val="it-IT"/>
        </w:rPr>
        <w:t>La nuova Mercedes-Benz VLE: focus sulla sostenibilità</w:t>
      </w:r>
    </w:p>
    <w:p w14:paraId="0E611BAF" w14:textId="7EB297D6" w:rsidR="008252DF" w:rsidRPr="00ED4266" w:rsidRDefault="00AE6ED3" w:rsidP="00AE6ED3">
      <w:pPr>
        <w:pStyle w:val="01FlietextCopytext"/>
        <w:rPr>
          <w:lang w:val="it-IT"/>
        </w:rPr>
      </w:pPr>
      <w:r w:rsidRPr="00ED4266">
        <w:rPr>
          <w:lang w:val="it-IT"/>
        </w:rPr>
        <w:t xml:space="preserve">Con la nuova VAN Electric Architecture (VAN.EA), Mercedes-Benz Vans apre la strada verso un futuro più sostenibile. La VLE è il primo veicolo basato su questa architettura. Riduce l’impronta di carbonio lungo l’intero ciclo di vita di oltre il 60 percento rispetto a una </w:t>
      </w:r>
      <w:r w:rsidR="00ED4266">
        <w:rPr>
          <w:lang w:val="it-IT"/>
        </w:rPr>
        <w:t>Classe V</w:t>
      </w:r>
      <w:r w:rsidRPr="00ED4266">
        <w:rPr>
          <w:lang w:val="it-IT"/>
        </w:rPr>
        <w:t>. Ciò è reso possibile principalmente da una propulsione completamente elettrica altamente efficiente, da un coefficiente aerodinamico eccezionalmente basso di 0,25, da un’ottimizzazione costante dei materiali utilizzati e dei processi produttivi dell’azienda, nonché dall’utilizzo di ricarica da fonti rinnovabili. La VLE rappresenta quindi un ulteriore passo importante verso una mobilità più sostenibile nel segmento delle Grand Limousine.</w:t>
      </w:r>
    </w:p>
    <w:p w14:paraId="3E6FB827" w14:textId="4343DBE6" w:rsidR="008252DF" w:rsidRPr="00ED4266" w:rsidRDefault="008252DF" w:rsidP="00AE6ED3">
      <w:pPr>
        <w:pStyle w:val="A03Flietext"/>
        <w:rPr>
          <w:lang w:val="it-IT"/>
        </w:rPr>
      </w:pPr>
    </w:p>
    <w:p w14:paraId="5EF8971E" w14:textId="77777777" w:rsidR="008252DF" w:rsidRPr="00ED4266" w:rsidRDefault="008252DF" w:rsidP="00AE6ED3">
      <w:pPr>
        <w:pStyle w:val="A03Flietext"/>
        <w:rPr>
          <w:rFonts w:ascii="MB Corpo S Text Office" w:hAnsi="MB Corpo S Text Office"/>
          <w:b/>
          <w:bCs/>
          <w:lang w:val="it-IT"/>
        </w:rPr>
      </w:pPr>
      <w:r w:rsidRPr="00ED4266">
        <w:rPr>
          <w:b/>
          <w:bCs/>
          <w:lang w:val="it-IT"/>
        </w:rPr>
        <w:t>Riduzione delle emissioni di carbonio nella produzione e nella catena di fornitura</w:t>
      </w:r>
    </w:p>
    <w:p w14:paraId="01CA49C5" w14:textId="77777777" w:rsidR="008252DF" w:rsidRPr="00ED4266" w:rsidRDefault="008252DF" w:rsidP="00AE6ED3">
      <w:pPr>
        <w:pStyle w:val="A03Flietext"/>
        <w:rPr>
          <w:rFonts w:ascii="MB Corpo S Text Office" w:hAnsi="MB Corpo S Text Office"/>
          <w:lang w:val="it-IT"/>
        </w:rPr>
      </w:pPr>
    </w:p>
    <w:p w14:paraId="487CC54F" w14:textId="5EC870E8" w:rsidR="00AE6ED3" w:rsidRPr="00A93EC0" w:rsidRDefault="008252DF" w:rsidP="00AE6ED3">
      <w:pPr>
        <w:pStyle w:val="A03Flietext"/>
        <w:numPr>
          <w:ilvl w:val="0"/>
          <w:numId w:val="20"/>
        </w:numPr>
        <w:ind w:left="714" w:hanging="357"/>
        <w:rPr>
          <w:lang w:val="en-GB"/>
        </w:rPr>
      </w:pPr>
      <w:r w:rsidRPr="00ED4266">
        <w:rPr>
          <w:b/>
          <w:bCs/>
          <w:lang w:val="it-IT"/>
        </w:rPr>
        <w:t>Nuova generazione di batterie:</w:t>
      </w:r>
      <w:r w:rsidRPr="00ED4266">
        <w:rPr>
          <w:lang w:val="it-IT"/>
        </w:rPr>
        <w:t xml:space="preserve"> le misure di riduzione delle emissioni hanno ridotto l’impronta di carbonio della nuova batteria agli ioni di litio di circa il 30 percento rispetto alla produzione convenzionale. Molte fasi di produzione sono già a bilancio neutro di carbonio: ad esempio, per la produzione del catodo e dei materiali dell’alloggiamento delle celle viene utilizzata elettricità da fonti rinnovabili. L’alloggiamento della batteria e il dissipatore di calore sono realizzati con oltre il 50 percento di alluminio riciclato. </w:t>
      </w:r>
      <w:r>
        <w:t xml:space="preserve">La </w:t>
      </w:r>
      <w:proofErr w:type="spellStart"/>
      <w:r>
        <w:t>batteria</w:t>
      </w:r>
      <w:proofErr w:type="spellEnd"/>
      <w:r>
        <w:t xml:space="preserve"> ha </w:t>
      </w:r>
      <w:proofErr w:type="spellStart"/>
      <w:r>
        <w:t>una</w:t>
      </w:r>
      <w:proofErr w:type="spellEnd"/>
      <w:r>
        <w:t xml:space="preserve"> capacità energetica utilizzabile di 115 kWh.</w:t>
      </w:r>
    </w:p>
    <w:p w14:paraId="75AA511F" w14:textId="77777777" w:rsidR="00AE6ED3" w:rsidRPr="00ED4266" w:rsidRDefault="00AE6ED3" w:rsidP="00AE6ED3">
      <w:pPr>
        <w:pStyle w:val="A03Flietext"/>
        <w:numPr>
          <w:ilvl w:val="0"/>
          <w:numId w:val="20"/>
        </w:numPr>
        <w:ind w:left="714" w:hanging="357"/>
        <w:rPr>
          <w:lang w:val="it-IT"/>
        </w:rPr>
      </w:pPr>
      <w:r w:rsidRPr="00ED4266">
        <w:rPr>
          <w:b/>
          <w:bCs/>
          <w:lang w:val="it-IT"/>
        </w:rPr>
        <w:t>Sostenibilità grazie alla riparabilità:</w:t>
      </w:r>
      <w:r w:rsidRPr="00ED4266">
        <w:rPr>
          <w:lang w:val="it-IT"/>
        </w:rPr>
        <w:t xml:space="preserve"> i componenti elettrici ed elettronici della batteria ad alta tensione possono essere riparati nelle officine Mercedes-Benz di tutto il mondo grazie a una progettazione del prodotto orientata alla manutenzione. L’accessibilità ottimale dei componenti E/E in uno specifico compartimento dedicato garantisce un facile accesso alle singole parti. In caso di guasto, spesso è quindi possibile evitare la sostituzione completa della batteria ad alta tensione. Per le riparazioni a livello del pacco celle è disponibile un processo di ricondizionamento.</w:t>
      </w:r>
    </w:p>
    <w:p w14:paraId="21F718E9" w14:textId="77777777" w:rsidR="00AE6ED3" w:rsidRPr="00ED4266" w:rsidRDefault="00AE6ED3" w:rsidP="00AE6ED3">
      <w:pPr>
        <w:pStyle w:val="A03Flietext"/>
        <w:numPr>
          <w:ilvl w:val="0"/>
          <w:numId w:val="20"/>
        </w:numPr>
        <w:rPr>
          <w:rFonts w:ascii="MB Corpo S Text Office" w:hAnsi="MB Corpo S Text Office"/>
          <w:b/>
          <w:bCs/>
          <w:lang w:val="en-GB"/>
        </w:rPr>
      </w:pPr>
      <w:proofErr w:type="spellStart"/>
      <w:r w:rsidRPr="00ED4266">
        <w:rPr>
          <w:b/>
          <w:bCs/>
        </w:rPr>
        <w:t>Utilizzo</w:t>
      </w:r>
      <w:proofErr w:type="spellEnd"/>
      <w:r w:rsidRPr="00ED4266">
        <w:rPr>
          <w:b/>
          <w:bCs/>
        </w:rPr>
        <w:t xml:space="preserve"> di </w:t>
      </w:r>
      <w:proofErr w:type="spellStart"/>
      <w:r w:rsidRPr="00ED4266">
        <w:rPr>
          <w:b/>
          <w:bCs/>
        </w:rPr>
        <w:t>plastiche</w:t>
      </w:r>
      <w:proofErr w:type="spellEnd"/>
      <w:r w:rsidRPr="00ED4266">
        <w:rPr>
          <w:b/>
          <w:bCs/>
        </w:rPr>
        <w:t xml:space="preserve"> </w:t>
      </w:r>
      <w:proofErr w:type="spellStart"/>
      <w:r w:rsidRPr="00ED4266">
        <w:rPr>
          <w:b/>
          <w:bCs/>
        </w:rPr>
        <w:t>riciclate</w:t>
      </w:r>
      <w:proofErr w:type="spellEnd"/>
      <w:r w:rsidRPr="00ED4266">
        <w:rPr>
          <w:b/>
          <w:bCs/>
        </w:rPr>
        <w:t>:</w:t>
      </w:r>
    </w:p>
    <w:p w14:paraId="1F8365DC" w14:textId="70178924" w:rsidR="00AE6ED3" w:rsidRPr="00ED4266" w:rsidRDefault="00AE6ED3" w:rsidP="00AE6ED3">
      <w:pPr>
        <w:pStyle w:val="A03Flietext"/>
        <w:numPr>
          <w:ilvl w:val="1"/>
          <w:numId w:val="20"/>
        </w:numPr>
        <w:rPr>
          <w:lang w:val="it-IT"/>
        </w:rPr>
      </w:pPr>
      <w:r w:rsidRPr="00ED4266">
        <w:rPr>
          <w:lang w:val="it-IT"/>
        </w:rPr>
        <w:t xml:space="preserve">Raddoppio della quota di materiale riciclato rispetto a </w:t>
      </w:r>
      <w:proofErr w:type="spellStart"/>
      <w:r w:rsidR="00ED4266">
        <w:rPr>
          <w:lang w:val="it-IT"/>
        </w:rPr>
        <w:t>ClasseV</w:t>
      </w:r>
      <w:proofErr w:type="spellEnd"/>
      <w:r w:rsidRPr="00ED4266">
        <w:rPr>
          <w:lang w:val="it-IT"/>
        </w:rPr>
        <w:t>/EQV.</w:t>
      </w:r>
    </w:p>
    <w:p w14:paraId="0EE759C7" w14:textId="27A76E19" w:rsidR="00AE6ED3" w:rsidRPr="00ED4266" w:rsidRDefault="00AE6ED3" w:rsidP="00AE6ED3">
      <w:pPr>
        <w:pStyle w:val="A03Flietext"/>
        <w:numPr>
          <w:ilvl w:val="1"/>
          <w:numId w:val="20"/>
        </w:numPr>
        <w:rPr>
          <w:lang w:val="it-IT"/>
        </w:rPr>
      </w:pPr>
      <w:r w:rsidRPr="00ED4266">
        <w:rPr>
          <w:lang w:val="it-IT"/>
        </w:rPr>
        <w:t xml:space="preserve">In media fino al 30 percento di contenuto riciclato nei componenti plastici di grandi dimensioni, tra cui paraurti, componenti esterni, coperture della batteria e </w:t>
      </w:r>
      <w:proofErr w:type="gramStart"/>
      <w:r w:rsidRPr="00ED4266">
        <w:rPr>
          <w:lang w:val="it-IT"/>
        </w:rPr>
        <w:t>del sottoscocca</w:t>
      </w:r>
      <w:proofErr w:type="gramEnd"/>
      <w:r w:rsidRPr="00ED4266">
        <w:rPr>
          <w:lang w:val="it-IT"/>
        </w:rPr>
        <w:t>.</w:t>
      </w:r>
    </w:p>
    <w:p w14:paraId="5C6BEB40" w14:textId="77777777" w:rsidR="00AE6ED3" w:rsidRPr="002D0EFF" w:rsidRDefault="00AE6ED3" w:rsidP="00AE6ED3">
      <w:pPr>
        <w:pStyle w:val="A03Flietext"/>
        <w:numPr>
          <w:ilvl w:val="1"/>
          <w:numId w:val="20"/>
        </w:numPr>
        <w:rPr>
          <w:lang w:val="en-GB"/>
        </w:rPr>
      </w:pPr>
      <w:proofErr w:type="spellStart"/>
      <w:r>
        <w:t>Rivestimenti</w:t>
      </w:r>
      <w:proofErr w:type="spellEnd"/>
      <w:r>
        <w:t xml:space="preserve"> dei </w:t>
      </w:r>
      <w:proofErr w:type="spellStart"/>
      <w:r>
        <w:t>sedili</w:t>
      </w:r>
      <w:proofErr w:type="spellEnd"/>
      <w:r>
        <w:t xml:space="preserve"> </w:t>
      </w:r>
      <w:proofErr w:type="spellStart"/>
      <w:r>
        <w:t>sostenibili</w:t>
      </w:r>
      <w:proofErr w:type="spellEnd"/>
      <w:r>
        <w:t>:</w:t>
      </w:r>
    </w:p>
    <w:p w14:paraId="332CECCA" w14:textId="77777777" w:rsidR="00AE6ED3" w:rsidRPr="00ED4266" w:rsidRDefault="00AE6ED3" w:rsidP="00AE6ED3">
      <w:pPr>
        <w:pStyle w:val="A03Flietext"/>
        <w:numPr>
          <w:ilvl w:val="2"/>
          <w:numId w:val="20"/>
        </w:numPr>
        <w:rPr>
          <w:lang w:val="it-IT"/>
        </w:rPr>
      </w:pPr>
      <w:r w:rsidRPr="00ED4266">
        <w:rPr>
          <w:lang w:val="it-IT"/>
        </w:rPr>
        <w:t>La pelle naturale è conciata senza l’uso di cromo.</w:t>
      </w:r>
    </w:p>
    <w:p w14:paraId="5D84C27E" w14:textId="77777777" w:rsidR="00AE6ED3" w:rsidRPr="00ED4266" w:rsidRDefault="00AE6ED3" w:rsidP="00AE6ED3">
      <w:pPr>
        <w:pStyle w:val="A03Flietext"/>
        <w:numPr>
          <w:ilvl w:val="2"/>
          <w:numId w:val="20"/>
        </w:numPr>
        <w:rPr>
          <w:lang w:val="it-IT"/>
        </w:rPr>
      </w:pPr>
      <w:r w:rsidRPr="00ED4266">
        <w:rPr>
          <w:lang w:val="it-IT"/>
        </w:rPr>
        <w:t xml:space="preserve">La pelle sintetica ARTICO è realizzata con bottiglie PET riciclate e il materiale superficiale è composto per almeno il 50 percento da materie prime </w:t>
      </w:r>
      <w:proofErr w:type="spellStart"/>
      <w:r w:rsidRPr="00ED4266">
        <w:rPr>
          <w:lang w:val="it-IT"/>
        </w:rPr>
        <w:t>bio</w:t>
      </w:r>
      <w:proofErr w:type="spellEnd"/>
      <w:r w:rsidRPr="00ED4266">
        <w:rPr>
          <w:lang w:val="it-IT"/>
        </w:rPr>
        <w:t>‑circolari.</w:t>
      </w:r>
    </w:p>
    <w:p w14:paraId="4926560E" w14:textId="04DE960C" w:rsidR="00AE6ED3" w:rsidRPr="00ED4266" w:rsidRDefault="00AE6ED3" w:rsidP="00AE6ED3">
      <w:pPr>
        <w:pStyle w:val="A03Flietext"/>
        <w:numPr>
          <w:ilvl w:val="2"/>
          <w:numId w:val="20"/>
        </w:numPr>
        <w:ind w:left="2154" w:hanging="357"/>
        <w:rPr>
          <w:lang w:val="it-IT"/>
        </w:rPr>
      </w:pPr>
      <w:r w:rsidRPr="00ED4266">
        <w:rPr>
          <w:lang w:val="it-IT"/>
        </w:rPr>
        <w:t>La microfibra MICROCUT e altri tessuti per rivestimenti contengono fino al 100 percento di materiali riciclati.</w:t>
      </w:r>
    </w:p>
    <w:p w14:paraId="5EC041B5" w14:textId="77777777" w:rsidR="00AE6ED3" w:rsidRPr="00ED4266" w:rsidRDefault="00AE6ED3" w:rsidP="00AE6ED3">
      <w:pPr>
        <w:pStyle w:val="A03Flietext"/>
        <w:numPr>
          <w:ilvl w:val="0"/>
          <w:numId w:val="20"/>
        </w:numPr>
        <w:ind w:left="714" w:hanging="357"/>
        <w:rPr>
          <w:lang w:val="it-IT"/>
        </w:rPr>
      </w:pPr>
      <w:r w:rsidRPr="00ED4266">
        <w:rPr>
          <w:b/>
          <w:bCs/>
          <w:lang w:val="it-IT"/>
        </w:rPr>
        <w:t>Utilizzo di materie prime secondarie:</w:t>
      </w:r>
      <w:r w:rsidRPr="00ED4266">
        <w:rPr>
          <w:lang w:val="it-IT"/>
        </w:rPr>
        <w:t xml:space="preserve"> elevato impiego di materiali secondari in componenti come sistema di trazione elettrica, cerchi e componenti della scocca.</w:t>
      </w:r>
    </w:p>
    <w:p w14:paraId="10A5A8CE" w14:textId="7C5E4BE8" w:rsidR="008252DF" w:rsidRPr="00ED4266" w:rsidRDefault="00AE6ED3" w:rsidP="00AE6ED3">
      <w:pPr>
        <w:pStyle w:val="A03Flietext"/>
        <w:numPr>
          <w:ilvl w:val="0"/>
          <w:numId w:val="20"/>
        </w:numPr>
        <w:ind w:left="714" w:hanging="357"/>
        <w:rPr>
          <w:lang w:val="it-IT"/>
        </w:rPr>
      </w:pPr>
      <w:r w:rsidRPr="00ED4266">
        <w:rPr>
          <w:b/>
          <w:bCs/>
          <w:lang w:val="it-IT"/>
        </w:rPr>
        <w:lastRenderedPageBreak/>
        <w:t>Produzione a bilancio neutro di carbonio:</w:t>
      </w:r>
      <w:r w:rsidRPr="00ED4266">
        <w:rPr>
          <w:lang w:val="it-IT"/>
        </w:rPr>
        <w:t xml:space="preserve"> tutti gli stabilimenti Mercedes-Benz nel mondo sono già alimentati con elettricità al 100 percento proveniente da fonti rinnovabili. Ciò significa che la nuova VLE sarà prodotta con bilancio neutro di carbonio anche nello stabilimento di Vitoria, nel nord della Spagna.</w:t>
      </w:r>
    </w:p>
    <w:p w14:paraId="43A09248" w14:textId="77777777" w:rsidR="00ED4266" w:rsidRDefault="00ED4266" w:rsidP="00AE6ED3">
      <w:pPr>
        <w:pStyle w:val="A03Flietext"/>
        <w:rPr>
          <w:rFonts w:ascii="MB Corpo S Text Office" w:hAnsi="MB Corpo S Text Office"/>
          <w:lang w:val="en-GB"/>
        </w:rPr>
      </w:pPr>
    </w:p>
    <w:p w14:paraId="284485A7" w14:textId="51F51E84" w:rsidR="008252DF" w:rsidRDefault="008252DF" w:rsidP="00AE6ED3">
      <w:pPr>
        <w:pStyle w:val="A03Flietext"/>
        <w:rPr>
          <w:b/>
          <w:bCs/>
          <w:lang w:val="it-IT"/>
        </w:rPr>
      </w:pPr>
      <w:r w:rsidRPr="00ED4266">
        <w:rPr>
          <w:b/>
          <w:bCs/>
          <w:lang w:val="it-IT"/>
        </w:rPr>
        <w:t>Riduzione delle emissioni di carbonio durante la fase di utilizzo</w:t>
      </w:r>
    </w:p>
    <w:p w14:paraId="64533587" w14:textId="77777777" w:rsidR="00ED4266" w:rsidRPr="00ED4266" w:rsidRDefault="00ED4266" w:rsidP="00AE6ED3">
      <w:pPr>
        <w:pStyle w:val="A03Flietext"/>
        <w:rPr>
          <w:rFonts w:ascii="MB Corpo S Text Office" w:hAnsi="MB Corpo S Text Office"/>
          <w:b/>
          <w:bCs/>
          <w:lang w:val="it-IT"/>
        </w:rPr>
      </w:pPr>
    </w:p>
    <w:p w14:paraId="4149BC02" w14:textId="77777777" w:rsidR="00AE6ED3" w:rsidRDefault="00AE6ED3" w:rsidP="00ED4266">
      <w:pPr>
        <w:pStyle w:val="01FlietextCopytext"/>
        <w:numPr>
          <w:ilvl w:val="0"/>
          <w:numId w:val="24"/>
        </w:numPr>
        <w:rPr>
          <w:lang w:val="it-IT"/>
        </w:rPr>
      </w:pPr>
      <w:r w:rsidRPr="00ED4266">
        <w:rPr>
          <w:b/>
          <w:bCs/>
          <w:lang w:val="it-IT"/>
        </w:rPr>
        <w:t>Autonomia:</w:t>
      </w:r>
      <w:r w:rsidRPr="00ED4266">
        <w:rPr>
          <w:lang w:val="it-IT"/>
        </w:rPr>
        <w:t xml:space="preserve"> la VLE elettrica ha un’autonomia superiore a 700 chilometri secondo WLTP. Un’autonomia fino a 355 chilometri può essere ricaricata in soli 15 minuti. In un test di guida da Stoccarda a Roma, la VLE ha percorso il tragitto di circa 1.000 chilometri con solo due soste di ricarica di 15 minuti ciascuna.</w:t>
      </w:r>
    </w:p>
    <w:p w14:paraId="3C6339AD" w14:textId="77777777" w:rsidR="00ED4266" w:rsidRPr="00ED4266" w:rsidRDefault="00ED4266" w:rsidP="00ED4266">
      <w:pPr>
        <w:pStyle w:val="01FlietextCopytext"/>
        <w:ind w:left="720"/>
        <w:rPr>
          <w:lang w:val="it-IT"/>
        </w:rPr>
      </w:pPr>
    </w:p>
    <w:p w14:paraId="44BE5D36" w14:textId="455883B9" w:rsidR="00AE6ED3" w:rsidRDefault="00AE6ED3" w:rsidP="00AE6ED3">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szCs w:val="21"/>
        </w:rPr>
        <w:t xml:space="preserve">Mercedes-Benz VLE </w:t>
      </w:r>
      <w:r w:rsidR="008B3275">
        <w:rPr>
          <w:rFonts w:ascii="MB Corpo S Text Office Light" w:eastAsia="Times New Roman" w:hAnsi="MB Corpo S Text Office Light" w:cs="Times New Roman"/>
          <w:szCs w:val="21"/>
        </w:rPr>
        <w:t xml:space="preserve">300 </w:t>
      </w:r>
      <w:r>
        <w:rPr>
          <w:rFonts w:ascii="MB Corpo S Text Office Light" w:eastAsia="Times New Roman" w:hAnsi="MB Corpo S Text Office Light" w:cs="Times New Roman"/>
          <w:szCs w:val="21"/>
        </w:rPr>
        <w:t>electric</w:t>
      </w:r>
      <w:r w:rsidRPr="007E72EA">
        <w:rPr>
          <w:rFonts w:ascii="MB Corpo S Text Office Light" w:eastAsia="Times New Roman" w:hAnsi="MB Corpo S Text Office Light" w:cs="Times New Roman"/>
          <w:szCs w:val="21"/>
        </w:rPr>
        <w:t xml:space="preserve"> </w:t>
      </w:r>
      <w:r>
        <w:rPr>
          <w:rFonts w:ascii="MB Corpo S Text Office Light" w:eastAsia="Times New Roman" w:hAnsi="MB Corpo S Text Office Light" w:cs="Times New Roman"/>
          <w:szCs w:val="21"/>
        </w:rPr>
        <w:t xml:space="preserve">| provisional figures: </w:t>
      </w:r>
      <w:r w:rsidRPr="007E72EA">
        <w:rPr>
          <w:rFonts w:ascii="MB Corpo S Text Office Light" w:eastAsia="Times New Roman" w:hAnsi="MB Corpo S Text Office Light" w:cs="Times New Roman"/>
          <w:szCs w:val="21"/>
        </w:rPr>
        <w:t>combined</w:t>
      </w:r>
      <w:r>
        <w:rPr>
          <w:rFonts w:ascii="MB Corpo S Text Office Light" w:eastAsia="Times New Roman" w:hAnsi="MB Corpo S Text Office Light" w:cs="Times New Roman"/>
          <w:szCs w:val="21"/>
        </w:rPr>
        <w:t xml:space="preserve"> energy </w:t>
      </w:r>
      <w:r w:rsidRPr="007E72EA">
        <w:rPr>
          <w:rFonts w:ascii="MB Corpo S Text Office Light" w:eastAsia="Times New Roman" w:hAnsi="MB Corpo S Text Office Light" w:cs="Times New Roman"/>
          <w:szCs w:val="21"/>
        </w:rPr>
        <w:t xml:space="preserve">consumption: </w:t>
      </w:r>
      <w:r>
        <w:t>20.4-18.6</w:t>
      </w:r>
      <w:r w:rsidRPr="00836B56">
        <w:t xml:space="preserve"> kWh/100 km </w:t>
      </w:r>
      <w:r w:rsidRPr="007E72EA">
        <w:rPr>
          <w:rFonts w:ascii="MB Corpo S Text Office Light" w:eastAsia="Times New Roman" w:hAnsi="MB Corpo S Text Office Light" w:cs="Times New Roman"/>
          <w:szCs w:val="21"/>
        </w:rPr>
        <w:t>| combined CO₂ emissions: 0 g/km | CO₂ class: A</w:t>
      </w:r>
      <w:r w:rsidRPr="00B43DD3">
        <w:rPr>
          <w:rFonts w:ascii="MB Corpo S Text Office Light" w:eastAsia="Times New Roman" w:hAnsi="MB Corpo S Text Office Light" w:cs="Times New Roman"/>
          <w:szCs w:val="21"/>
          <w:vertAlign w:val="superscript"/>
        </w:rPr>
        <w:t>1</w:t>
      </w:r>
    </w:p>
    <w:p w14:paraId="67C80DD7" w14:textId="681F55E9" w:rsidR="00AE6ED3" w:rsidRPr="002D0EFF" w:rsidRDefault="00AE6ED3" w:rsidP="00AE6ED3">
      <w:pPr>
        <w:pStyle w:val="01FlietextCopytext"/>
      </w:pPr>
    </w:p>
    <w:p w14:paraId="00C7D776" w14:textId="710915E1" w:rsidR="00AE6ED3" w:rsidRPr="00ED4266" w:rsidRDefault="00AE6ED3" w:rsidP="00AE6ED3">
      <w:pPr>
        <w:pStyle w:val="01FlietextCopytext"/>
        <w:numPr>
          <w:ilvl w:val="0"/>
          <w:numId w:val="22"/>
        </w:numPr>
        <w:ind w:left="714" w:hanging="357"/>
        <w:rPr>
          <w:lang w:val="it-IT"/>
        </w:rPr>
      </w:pPr>
      <w:r w:rsidRPr="00ED4266">
        <w:rPr>
          <w:b/>
          <w:bCs/>
          <w:lang w:val="it-IT"/>
        </w:rPr>
        <w:t>Consumo energetico:</w:t>
      </w:r>
      <w:r w:rsidRPr="00ED4266">
        <w:rPr>
          <w:lang w:val="it-IT"/>
        </w:rPr>
        <w:t xml:space="preserve"> la nuova VLE ha un consumo energetico inferiore a 20 kWh/100 chilometri (WLTP). Si tratta di un valore straordinario per una Grand Limousine. Corrisponde a un consumo di carburante inferiore a due litri di diesel per 100 chilometri. Ciò è reso possibile da una propulsione altamente efficiente con tecnologia a 800 volt e aerodinamica ottimizzata.</w:t>
      </w:r>
    </w:p>
    <w:p w14:paraId="0DA181FE" w14:textId="51BBC92E" w:rsidR="00AE6ED3" w:rsidRPr="00A93EC0" w:rsidRDefault="00AE6ED3" w:rsidP="00ED4266">
      <w:pPr>
        <w:pStyle w:val="01FlietextCopytext"/>
        <w:ind w:left="714"/>
      </w:pPr>
    </w:p>
    <w:p w14:paraId="34DF9FB1" w14:textId="39A478C0" w:rsidR="00AE6ED3" w:rsidRPr="00ED4266" w:rsidRDefault="00AE6ED3" w:rsidP="00ED4266">
      <w:pPr>
        <w:pStyle w:val="A03Flietext"/>
        <w:numPr>
          <w:ilvl w:val="0"/>
          <w:numId w:val="22"/>
        </w:numPr>
        <w:ind w:left="714" w:hanging="357"/>
        <w:rPr>
          <w:lang w:val="it-IT"/>
        </w:rPr>
      </w:pPr>
      <w:r w:rsidRPr="00ED4266">
        <w:rPr>
          <w:b/>
          <w:bCs/>
          <w:lang w:val="it-IT"/>
        </w:rPr>
        <w:t>Più favorevole per il clima già a partire da 35.000 chilometri utilizzando energia rinnovabile:</w:t>
      </w:r>
      <w:r w:rsidRPr="00ED4266">
        <w:rPr>
          <w:lang w:val="it-IT"/>
        </w:rPr>
        <w:t xml:space="preserve"> se la nuova VLE viene ricaricata esclusivamente con elettricità proveniente da fonti rinnovabili, diventa più favorevole per il clima rispetto a un veicolo comparabile con motore a combustione già a partire da 35.000 chilometri.</w:t>
      </w:r>
      <w:r w:rsidRPr="00ED4266">
        <w:rPr>
          <w:lang w:val="en-GB"/>
        </w:rPr>
        <w:br/>
      </w:r>
    </w:p>
    <w:p w14:paraId="629E38AE" w14:textId="42D480FA" w:rsidR="00AE6ED3" w:rsidRPr="00ED4266" w:rsidRDefault="00AE6ED3" w:rsidP="00ED4266">
      <w:pPr>
        <w:pStyle w:val="01FlietextCopytext"/>
        <w:numPr>
          <w:ilvl w:val="0"/>
          <w:numId w:val="21"/>
        </w:numPr>
        <w:ind w:left="714" w:hanging="357"/>
        <w:rPr>
          <w:lang w:val="it-IT"/>
        </w:rPr>
      </w:pPr>
      <w:r w:rsidRPr="00ED4266">
        <w:rPr>
          <w:b/>
          <w:bCs/>
          <w:lang w:val="it-IT"/>
        </w:rPr>
        <w:t>Aerodinamica di riferimento:</w:t>
      </w:r>
      <w:r w:rsidRPr="00ED4266">
        <w:rPr>
          <w:lang w:val="it-IT"/>
        </w:rPr>
        <w:t xml:space="preserve"> con un coefficiente di resistenza aerodinamica di appena 0,25, la VLE si colloca ai vertici del segmento delle Grand Limousine. Il flusso d’aria ottimizzato ha effetti positivi non solo su consumo energetico e autonomia ma riduce anche il rumore aerodinamico nell’abitacolo.</w:t>
      </w:r>
      <w:r w:rsidRPr="002D0EFF">
        <w:br/>
      </w:r>
    </w:p>
    <w:p w14:paraId="60BFEACC" w14:textId="11B0A4DD" w:rsidR="00AE6ED3" w:rsidRDefault="00AE6ED3" w:rsidP="00AE6ED3">
      <w:pPr>
        <w:pStyle w:val="01FlietextCopytext"/>
        <w:numPr>
          <w:ilvl w:val="0"/>
          <w:numId w:val="22"/>
        </w:numPr>
        <w:ind w:left="714" w:hanging="357"/>
        <w:rPr>
          <w:lang w:val="it-IT"/>
        </w:rPr>
      </w:pPr>
      <w:r w:rsidRPr="00ED4266">
        <w:rPr>
          <w:b/>
          <w:bCs/>
          <w:lang w:val="it-IT"/>
        </w:rPr>
        <w:t>Elevata potenza di recupero:</w:t>
      </w:r>
      <w:r w:rsidRPr="00ED4266">
        <w:rPr>
          <w:lang w:val="it-IT"/>
        </w:rPr>
        <w:t xml:space="preserve"> la nuova VLE può recuperare energia elettrica fino a una potenza di 200 kW durante la frenata, contribuendo in modo significativo ad aumentare l’autonomia.</w:t>
      </w:r>
    </w:p>
    <w:p w14:paraId="70FE9D33" w14:textId="77777777" w:rsidR="000A7553" w:rsidRDefault="000A7553" w:rsidP="000A7553">
      <w:pPr>
        <w:pStyle w:val="01FlietextCopytext"/>
        <w:rPr>
          <w:lang w:val="it-IT"/>
        </w:rPr>
      </w:pPr>
    </w:p>
    <w:p w14:paraId="6588F04C" w14:textId="77777777" w:rsidR="000A7553" w:rsidRPr="00ED4266" w:rsidRDefault="000A7553" w:rsidP="000A7553">
      <w:pPr>
        <w:pStyle w:val="A03Flietext"/>
        <w:numPr>
          <w:ilvl w:val="0"/>
          <w:numId w:val="22"/>
        </w:numPr>
        <w:rPr>
          <w:rFonts w:ascii="MB Corpo S Text Office" w:hAnsi="MB Corpo S Text Office"/>
          <w:lang w:val="it-IT"/>
        </w:rPr>
      </w:pPr>
      <w:r w:rsidRPr="000A7553">
        <w:rPr>
          <w:b/>
          <w:bCs/>
          <w:lang w:val="it-IT"/>
        </w:rPr>
        <w:t>Pompa di calore multi‑sorgente di serie:</w:t>
      </w:r>
      <w:r w:rsidRPr="00ED4266">
        <w:rPr>
          <w:lang w:val="it-IT"/>
        </w:rPr>
        <w:t xml:space="preserve"> combina efficienza ed elevato comfort termico. La pompa di calore lato aria utilizza il calore di scarto del sistema di trazione elettrico e della batteria, nonché l’aria ambiente, per riscaldare l’abitacolo. Richiede solo circa un terzo dell’energia elettrica che un riscaldatore elettrico ausiliario comparabile necessiterebbe per la stessa potenza di riscaldamento nelle stesse condizioni. Nella VLE, la pompa di calore alimenta fino a due sistemi aggiuntivi nella parte posteriore del veicolo oltre al sistema di climatizzazione anteriore, consentendo di riscaldare efficacemente l’ampio abitacolo.</w:t>
      </w:r>
    </w:p>
    <w:p w14:paraId="51A55E0C" w14:textId="77777777" w:rsidR="00ED4266" w:rsidRDefault="00ED4266" w:rsidP="000A7553">
      <w:pPr>
        <w:pStyle w:val="01FlietextCopytext"/>
        <w:rPr>
          <w:lang w:val="it-IT"/>
        </w:rPr>
      </w:pPr>
    </w:p>
    <w:p w14:paraId="412865AE" w14:textId="77777777" w:rsidR="000A7553" w:rsidRPr="000A7553" w:rsidRDefault="000A7553" w:rsidP="000A7553">
      <w:pPr>
        <w:pStyle w:val="A03Flietext"/>
        <w:numPr>
          <w:ilvl w:val="0"/>
          <w:numId w:val="25"/>
        </w:numPr>
        <w:rPr>
          <w:rFonts w:ascii="MB Corpo S Text Office" w:hAnsi="MB Corpo S Text Office"/>
          <w:lang w:val="it-IT"/>
        </w:rPr>
      </w:pPr>
      <w:r w:rsidRPr="00ED4266">
        <w:rPr>
          <w:b/>
          <w:bCs/>
          <w:lang w:val="it-IT"/>
        </w:rPr>
        <w:t>Predisposta per la ricarica bidirezionale:</w:t>
      </w:r>
      <w:r w:rsidRPr="00ED4266">
        <w:rPr>
          <w:lang w:val="it-IT"/>
        </w:rPr>
        <w:t xml:space="preserve"> la VLE è pronta per essere collegata alla rete elettrica. Quando collegata a una stazione di ricarica DC bidirezionale compatibile, può ad esempio immagazzinare energia solare per un utilizzo successivo o fungere da fonte di energia, sia </w:t>
      </w:r>
      <w:proofErr w:type="spellStart"/>
      <w:r w:rsidRPr="00ED4266">
        <w:rPr>
          <w:lang w:val="it-IT"/>
        </w:rPr>
        <w:t>vehicle</w:t>
      </w:r>
      <w:proofErr w:type="spellEnd"/>
      <w:r w:rsidRPr="00ED4266">
        <w:rPr>
          <w:lang w:val="it-IT"/>
        </w:rPr>
        <w:t xml:space="preserve">‑to‑home (V2H) sia </w:t>
      </w:r>
      <w:proofErr w:type="spellStart"/>
      <w:r w:rsidRPr="00ED4266">
        <w:rPr>
          <w:lang w:val="it-IT"/>
        </w:rPr>
        <w:t>vehicle</w:t>
      </w:r>
      <w:proofErr w:type="spellEnd"/>
      <w:r w:rsidRPr="00ED4266">
        <w:rPr>
          <w:lang w:val="it-IT"/>
        </w:rPr>
        <w:t>‑to‑</w:t>
      </w:r>
      <w:proofErr w:type="spellStart"/>
      <w:r w:rsidRPr="00ED4266">
        <w:rPr>
          <w:lang w:val="it-IT"/>
        </w:rPr>
        <w:t>grid</w:t>
      </w:r>
      <w:proofErr w:type="spellEnd"/>
      <w:r w:rsidRPr="00ED4266">
        <w:rPr>
          <w:lang w:val="it-IT"/>
        </w:rPr>
        <w:t xml:space="preserve"> (V2G).</w:t>
      </w:r>
    </w:p>
    <w:p w14:paraId="1F4EB267" w14:textId="77777777" w:rsidR="000A7553" w:rsidRDefault="000A7553" w:rsidP="000A7553">
      <w:pPr>
        <w:pStyle w:val="A03Flietext"/>
        <w:rPr>
          <w:rFonts w:ascii="MB Corpo S Text Office" w:hAnsi="MB Corpo S Text Office"/>
          <w:lang w:val="it-IT"/>
        </w:rPr>
      </w:pPr>
    </w:p>
    <w:p w14:paraId="204500BC" w14:textId="0AD46C72" w:rsidR="000A7553" w:rsidRPr="000A7553" w:rsidRDefault="000A7553" w:rsidP="000A7553">
      <w:pPr>
        <w:pStyle w:val="Paragrafoelenco"/>
        <w:numPr>
          <w:ilvl w:val="0"/>
          <w:numId w:val="25"/>
        </w:numPr>
        <w:rPr>
          <w:lang w:val="it-IT"/>
        </w:rPr>
      </w:pPr>
      <w:r w:rsidRPr="000A7553">
        <w:rPr>
          <w:b/>
          <w:bCs/>
          <w:lang w:val="it-IT"/>
        </w:rPr>
        <w:t>Accesso a una delle più grandi reti di ricarica al mondo</w:t>
      </w:r>
      <w:r w:rsidRPr="000A7553">
        <w:rPr>
          <w:lang w:val="it-IT"/>
        </w:rPr>
        <w:t xml:space="preserve">: </w:t>
      </w:r>
      <w:proofErr w:type="gramStart"/>
      <w:r w:rsidRPr="000A7553">
        <w:rPr>
          <w:lang w:val="it-IT"/>
        </w:rPr>
        <w:t>MB.CHARGE</w:t>
      </w:r>
      <w:proofErr w:type="gramEnd"/>
      <w:r w:rsidRPr="000A7553">
        <w:rPr>
          <w:lang w:val="it-IT"/>
        </w:rPr>
        <w:t xml:space="preserve"> Public offre ai clienti dei veicoli elettrici e dei modelli ibridi plug-in Mercedes-Benz in oltre 35 Paesi su quattro continenti un accesso semplice a una delle più vaste reti di ricarica: più di 2,7 milioni di punti di ricarica gestiti da oltre 1.500 operatori di stazioni di ricarica. Più di 950.000 di questi punti di ricarica si trovano in Europa, compresi oltre 160.000 in Germania. Mercedes-Benz sta espandendo continuamente la rete di ricarica attraverso proprie attività volte a creare infrastrutture di ricarica pubblica a livello globale. Entro la </w:t>
      </w:r>
      <w:r w:rsidRPr="000A7553">
        <w:rPr>
          <w:lang w:val="it-IT"/>
        </w:rPr>
        <w:lastRenderedPageBreak/>
        <w:t>fine del decennio, saranno istituiti circa 45.000 punti di ricarica nella rete globale Mercedes-Benz Charging Network e nelle joint venture IONITY, IONNA e IONCHI in Europa, Nord America e Cina.</w:t>
      </w:r>
    </w:p>
    <w:p w14:paraId="64D18BF5" w14:textId="77777777" w:rsidR="000A7553" w:rsidRPr="000A7553" w:rsidRDefault="000A7553" w:rsidP="000A7553">
      <w:pPr>
        <w:pStyle w:val="01FlietextCopytext"/>
        <w:rPr>
          <w:lang w:val="it-IT"/>
        </w:rPr>
      </w:pPr>
    </w:p>
    <w:p w14:paraId="3D9F898D" w14:textId="7A0053AF" w:rsidR="00AE6ED3" w:rsidRPr="000A7553" w:rsidRDefault="000A7553" w:rsidP="000A7553">
      <w:pPr>
        <w:pStyle w:val="Paragrafoelenco"/>
        <w:numPr>
          <w:ilvl w:val="0"/>
          <w:numId w:val="25"/>
        </w:numPr>
        <w:rPr>
          <w:lang w:val="it-IT"/>
        </w:rPr>
      </w:pPr>
      <w:r w:rsidRPr="000A7553">
        <w:rPr>
          <w:b/>
          <w:bCs/>
          <w:lang w:val="it-IT"/>
        </w:rPr>
        <w:t>Ricarica da fonti rinnovabili:</w:t>
      </w:r>
      <w:r w:rsidRPr="000A7553">
        <w:rPr>
          <w:lang w:val="it-IT"/>
        </w:rPr>
        <w:t xml:space="preserve"> Mercedes-Benz si impegna costantemente a utilizzare elettricità proveniente da energie rinnovabili. </w:t>
      </w:r>
      <w:r w:rsidRPr="000A7553">
        <w:t xml:space="preserve">La </w:t>
      </w:r>
      <w:proofErr w:type="spellStart"/>
      <w:r w:rsidRPr="000A7553">
        <w:t>ricarica</w:t>
      </w:r>
      <w:proofErr w:type="spellEnd"/>
      <w:r w:rsidRPr="000A7553">
        <w:t xml:space="preserve"> da </w:t>
      </w:r>
      <w:proofErr w:type="spellStart"/>
      <w:r w:rsidRPr="000A7553">
        <w:t>fonti</w:t>
      </w:r>
      <w:proofErr w:type="spellEnd"/>
      <w:r w:rsidRPr="000A7553">
        <w:t xml:space="preserve"> </w:t>
      </w:r>
      <w:proofErr w:type="spellStart"/>
      <w:r w:rsidRPr="000A7553">
        <w:t>rinnovabili</w:t>
      </w:r>
      <w:proofErr w:type="spellEnd"/>
      <w:r w:rsidRPr="000A7553">
        <w:t xml:space="preserve"> è </w:t>
      </w:r>
      <w:proofErr w:type="spellStart"/>
      <w:r w:rsidRPr="000A7553">
        <w:t>parte</w:t>
      </w:r>
      <w:proofErr w:type="spellEnd"/>
      <w:r w:rsidRPr="000A7553">
        <w:t xml:space="preserve"> </w:t>
      </w:r>
      <w:proofErr w:type="spellStart"/>
      <w:r w:rsidRPr="000A7553">
        <w:t>integrante</w:t>
      </w:r>
      <w:proofErr w:type="spellEnd"/>
      <w:r w:rsidRPr="000A7553">
        <w:t xml:space="preserve"> di </w:t>
      </w:r>
      <w:proofErr w:type="gramStart"/>
      <w:r w:rsidRPr="000A7553">
        <w:t>MB.CHARGE</w:t>
      </w:r>
      <w:proofErr w:type="gramEnd"/>
      <w:r w:rsidRPr="000A7553">
        <w:t xml:space="preserve"> Public in Europa, Canada, USA e Cina. </w:t>
      </w:r>
      <w:proofErr w:type="spellStart"/>
      <w:r w:rsidRPr="000A7553">
        <w:t>Qualora</w:t>
      </w:r>
      <w:proofErr w:type="spellEnd"/>
      <w:r w:rsidRPr="000A7553">
        <w:t xml:space="preserve"> </w:t>
      </w:r>
      <w:proofErr w:type="spellStart"/>
      <w:r w:rsidRPr="000A7553">
        <w:t>l’elettricità</w:t>
      </w:r>
      <w:proofErr w:type="spellEnd"/>
      <w:r w:rsidRPr="000A7553">
        <w:t xml:space="preserve"> da </w:t>
      </w:r>
      <w:proofErr w:type="spellStart"/>
      <w:r w:rsidRPr="000A7553">
        <w:t>fonti</w:t>
      </w:r>
      <w:proofErr w:type="spellEnd"/>
      <w:r w:rsidRPr="000A7553">
        <w:t xml:space="preserve"> </w:t>
      </w:r>
      <w:proofErr w:type="spellStart"/>
      <w:r w:rsidRPr="000A7553">
        <w:t>rinnovabili</w:t>
      </w:r>
      <w:proofErr w:type="spellEnd"/>
      <w:r w:rsidRPr="000A7553">
        <w:t xml:space="preserve"> non </w:t>
      </w:r>
      <w:proofErr w:type="spellStart"/>
      <w:r w:rsidRPr="000A7553">
        <w:t>sia</w:t>
      </w:r>
      <w:proofErr w:type="spellEnd"/>
      <w:r w:rsidRPr="000A7553">
        <w:t xml:space="preserve"> </w:t>
      </w:r>
      <w:proofErr w:type="spellStart"/>
      <w:r w:rsidRPr="000A7553">
        <w:t>ancora</w:t>
      </w:r>
      <w:proofErr w:type="spellEnd"/>
      <w:r w:rsidRPr="000A7553">
        <w:t xml:space="preserve"> </w:t>
      </w:r>
      <w:proofErr w:type="spellStart"/>
      <w:r w:rsidRPr="000A7553">
        <w:t>disponibile</w:t>
      </w:r>
      <w:proofErr w:type="spellEnd"/>
      <w:r w:rsidRPr="000A7553">
        <w:t xml:space="preserve"> </w:t>
      </w:r>
      <w:proofErr w:type="spellStart"/>
      <w:r w:rsidRPr="000A7553">
        <w:t>presso</w:t>
      </w:r>
      <w:proofErr w:type="spellEnd"/>
      <w:r w:rsidRPr="000A7553">
        <w:t xml:space="preserve"> la </w:t>
      </w:r>
      <w:proofErr w:type="spellStart"/>
      <w:r w:rsidRPr="000A7553">
        <w:t>rispettiva</w:t>
      </w:r>
      <w:proofErr w:type="spellEnd"/>
      <w:r w:rsidRPr="000A7553">
        <w:t xml:space="preserve"> </w:t>
      </w:r>
      <w:proofErr w:type="spellStart"/>
      <w:r w:rsidRPr="000A7553">
        <w:t>stazione</w:t>
      </w:r>
      <w:proofErr w:type="spellEnd"/>
      <w:r w:rsidRPr="000A7553">
        <w:t xml:space="preserve"> di </w:t>
      </w:r>
      <w:proofErr w:type="spellStart"/>
      <w:r w:rsidRPr="000A7553">
        <w:t>ricarica</w:t>
      </w:r>
      <w:proofErr w:type="spellEnd"/>
      <w:r w:rsidRPr="000A7553">
        <w:t xml:space="preserve">, </w:t>
      </w:r>
      <w:proofErr w:type="gramStart"/>
      <w:r w:rsidRPr="000A7553">
        <w:t>MB.CHARGE</w:t>
      </w:r>
      <w:proofErr w:type="gramEnd"/>
      <w:r w:rsidRPr="000A7553">
        <w:t xml:space="preserve"> Public </w:t>
      </w:r>
      <w:proofErr w:type="spellStart"/>
      <w:r w:rsidRPr="000A7553">
        <w:t>utilizza</w:t>
      </w:r>
      <w:proofErr w:type="spellEnd"/>
      <w:r w:rsidRPr="000A7553">
        <w:t xml:space="preserve"> </w:t>
      </w:r>
      <w:proofErr w:type="spellStart"/>
      <w:r w:rsidRPr="000A7553">
        <w:t>certificati</w:t>
      </w:r>
      <w:proofErr w:type="spellEnd"/>
      <w:r w:rsidRPr="000A7553">
        <w:t xml:space="preserve"> di </w:t>
      </w:r>
      <w:proofErr w:type="spellStart"/>
      <w:r w:rsidRPr="000A7553">
        <w:t>energia</w:t>
      </w:r>
      <w:proofErr w:type="spellEnd"/>
      <w:r w:rsidRPr="000A7553">
        <w:t xml:space="preserve"> </w:t>
      </w:r>
      <w:proofErr w:type="spellStart"/>
      <w:r w:rsidRPr="000A7553">
        <w:t>verde</w:t>
      </w:r>
      <w:proofErr w:type="spellEnd"/>
      <w:r w:rsidRPr="000A7553">
        <w:t xml:space="preserve">. </w:t>
      </w:r>
      <w:r w:rsidRPr="000A7553">
        <w:rPr>
          <w:lang w:val="it-IT"/>
        </w:rPr>
        <w:t xml:space="preserve">Questi certificati garantiscono che una quantità equivalente di elettricità prodotta da fonti rinnovabili venga immessa nella rete elettrica per i processi di ricarica tramite </w:t>
      </w:r>
      <w:proofErr w:type="gramStart"/>
      <w:r w:rsidRPr="000A7553">
        <w:rPr>
          <w:lang w:val="it-IT"/>
        </w:rPr>
        <w:t>MB.CHARGE</w:t>
      </w:r>
      <w:proofErr w:type="gramEnd"/>
      <w:r w:rsidRPr="000A7553">
        <w:rPr>
          <w:lang w:val="it-IT"/>
        </w:rPr>
        <w:t xml:space="preserve"> Public. Si tratta esclusivamente di certificati di energia verde provenienti da centrali eoliche e solari che hanno meno di sei anni. La ricarica da fonti rinnovabili è anche un elemento chiave della Mercedes-Benz Charging Network. Ovunque possibile, questo avviene principalmente attraverso contratti di fornitura di energia verde o mediante l’utilizzo di certificati di energia verde.</w:t>
      </w:r>
    </w:p>
    <w:p w14:paraId="6E841AFE" w14:textId="77777777" w:rsidR="00ED4266" w:rsidRDefault="00ED4266" w:rsidP="00AE6ED3">
      <w:pPr>
        <w:pStyle w:val="A03Flietext"/>
        <w:rPr>
          <w:rFonts w:ascii="MB Corpo S Text Office" w:hAnsi="MB Corpo S Text Office"/>
          <w:lang w:val="it-IT"/>
        </w:rPr>
      </w:pPr>
    </w:p>
    <w:p w14:paraId="3D73D6FB" w14:textId="77777777" w:rsidR="000A7553" w:rsidRDefault="000A7553" w:rsidP="000A7553">
      <w:pPr>
        <w:rPr>
          <w:b/>
          <w:bCs/>
        </w:rPr>
      </w:pPr>
      <w:proofErr w:type="spellStart"/>
      <w:r w:rsidRPr="000A7553">
        <w:rPr>
          <w:b/>
          <w:bCs/>
        </w:rPr>
        <w:t>Sostenibilità</w:t>
      </w:r>
      <w:proofErr w:type="spellEnd"/>
      <w:r w:rsidRPr="000A7553">
        <w:rPr>
          <w:b/>
          <w:bCs/>
        </w:rPr>
        <w:t xml:space="preserve"> </w:t>
      </w:r>
      <w:proofErr w:type="spellStart"/>
      <w:r w:rsidRPr="000A7553">
        <w:rPr>
          <w:b/>
          <w:bCs/>
        </w:rPr>
        <w:t>attraverso</w:t>
      </w:r>
      <w:proofErr w:type="spellEnd"/>
      <w:r w:rsidRPr="000A7553">
        <w:rPr>
          <w:b/>
          <w:bCs/>
        </w:rPr>
        <w:t xml:space="preserve"> la </w:t>
      </w:r>
      <w:proofErr w:type="spellStart"/>
      <w:r w:rsidRPr="000A7553">
        <w:rPr>
          <w:b/>
          <w:bCs/>
        </w:rPr>
        <w:t>digitalizzazione</w:t>
      </w:r>
      <w:proofErr w:type="spellEnd"/>
    </w:p>
    <w:p w14:paraId="4AC26698" w14:textId="77777777" w:rsidR="00F758DE" w:rsidRPr="000A7553" w:rsidRDefault="00F758DE" w:rsidP="000A7553">
      <w:pPr>
        <w:rPr>
          <w:b/>
          <w:bCs/>
        </w:rPr>
      </w:pPr>
    </w:p>
    <w:p w14:paraId="479CDFC9" w14:textId="77777777" w:rsidR="000A7553" w:rsidRDefault="000A7553" w:rsidP="000A7553">
      <w:pPr>
        <w:pStyle w:val="Paragrafoelenco"/>
        <w:numPr>
          <w:ilvl w:val="0"/>
          <w:numId w:val="28"/>
        </w:numPr>
        <w:rPr>
          <w:lang w:val="it-IT"/>
        </w:rPr>
      </w:pPr>
      <w:r w:rsidRPr="00F758DE">
        <w:rPr>
          <w:b/>
          <w:bCs/>
          <w:lang w:val="it-IT"/>
        </w:rPr>
        <w:t>Navigazione con Electric Intelligence:</w:t>
      </w:r>
      <w:r w:rsidRPr="000A7553">
        <w:rPr>
          <w:lang w:val="it-IT"/>
        </w:rPr>
        <w:t xml:space="preserve"> il sistema pianifica il percorso più rapido e conveniente, includendo le soste per la ricarica, e reagisce in modo dinamico a numerosi fattori come ingorghi o cambiamenti nello stile di guida. MBUX visualizza la capacità attuale della batteria, mostra i costi di ricarica stimati per ogni fermata e fornisce consigli per risparmiare energia.</w:t>
      </w:r>
    </w:p>
    <w:p w14:paraId="11A5F1D5" w14:textId="77777777" w:rsidR="00F758DE" w:rsidRPr="000A7553" w:rsidRDefault="00F758DE" w:rsidP="00F758DE">
      <w:pPr>
        <w:pStyle w:val="Paragrafoelenco"/>
        <w:ind w:left="720" w:firstLine="0"/>
        <w:rPr>
          <w:lang w:val="it-IT"/>
        </w:rPr>
      </w:pPr>
    </w:p>
    <w:p w14:paraId="0F7FB8D2" w14:textId="2EA33E61" w:rsidR="000A7553" w:rsidRPr="000A7553" w:rsidRDefault="000A7553" w:rsidP="000A7553">
      <w:pPr>
        <w:pStyle w:val="Paragrafoelenco"/>
        <w:numPr>
          <w:ilvl w:val="0"/>
          <w:numId w:val="28"/>
        </w:numPr>
        <w:rPr>
          <w:lang w:val="it-IT"/>
        </w:rPr>
      </w:pPr>
      <w:r w:rsidRPr="00F758DE">
        <w:rPr>
          <w:b/>
          <w:bCs/>
          <w:lang w:val="it-IT"/>
        </w:rPr>
        <w:t>DIGITAL LIGHT:</w:t>
      </w:r>
      <w:r w:rsidRPr="000A7553">
        <w:rPr>
          <w:lang w:val="it-IT"/>
        </w:rPr>
        <w:t xml:space="preserve"> la nuova generazione di DIGITAL LIGHT presenta tecnologia micro-LED e un chip potente – per una luminosità superiore, dimezzando al contempo il consumo energetico.</w:t>
      </w:r>
    </w:p>
    <w:p w14:paraId="0EB549AB" w14:textId="5B10B635" w:rsidR="00AE6ED3" w:rsidRPr="000A7553" w:rsidRDefault="00AE6ED3" w:rsidP="000A7553">
      <w:pPr>
        <w:pStyle w:val="01FlietextCopytext"/>
        <w:rPr>
          <w:lang w:val="it-IT"/>
        </w:rPr>
      </w:pPr>
      <w:r w:rsidRPr="000A7553">
        <w:rPr>
          <w:lang w:val="it-IT"/>
        </w:rPr>
        <w:br/>
      </w:r>
    </w:p>
    <w:p w14:paraId="0201FE3E" w14:textId="77777777" w:rsidR="00AE6ED3" w:rsidRPr="000A7553" w:rsidRDefault="00AE6ED3" w:rsidP="00AE6ED3">
      <w:pPr>
        <w:pStyle w:val="A03Flietext"/>
        <w:rPr>
          <w:lang w:val="it-IT"/>
        </w:rPr>
      </w:pPr>
    </w:p>
    <w:p w14:paraId="0D6FC0B2" w14:textId="2477F3E8" w:rsidR="00630802" w:rsidRPr="000A7553" w:rsidRDefault="00630802" w:rsidP="007F15E5">
      <w:pPr>
        <w:pStyle w:val="D05Boilerplate"/>
        <w:rPr>
          <w:lang w:val="it-IT"/>
        </w:rPr>
      </w:pPr>
    </w:p>
    <w:sectPr w:rsidR="00630802" w:rsidRPr="000A7553"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80990" w14:textId="77777777" w:rsidR="00967561" w:rsidRPr="00E675DA" w:rsidRDefault="00967561" w:rsidP="00764B8C">
      <w:r w:rsidRPr="00E675DA">
        <w:separator/>
      </w:r>
    </w:p>
    <w:p w14:paraId="2593D193" w14:textId="77777777" w:rsidR="00967561" w:rsidRDefault="00967561"/>
  </w:endnote>
  <w:endnote w:type="continuationSeparator" w:id="0">
    <w:p w14:paraId="32D7D0FA" w14:textId="77777777" w:rsidR="00967561" w:rsidRPr="00E675DA" w:rsidRDefault="00967561" w:rsidP="00764B8C">
      <w:r w:rsidRPr="00E675DA">
        <w:continuationSeparator/>
      </w:r>
    </w:p>
    <w:p w14:paraId="1C78CF94" w14:textId="77777777" w:rsidR="00967561" w:rsidRDefault="00967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6596" w14:textId="561AA922" w:rsidR="00627DFF" w:rsidRDefault="00627D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521A" w14:textId="2BD67D3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60C2823D"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61D2605F" w14:textId="77777777" w:rsidTr="00FC5F7D">
      <w:trPr>
        <w:trHeight w:hRule="exact" w:val="1486"/>
      </w:trPr>
      <w:tc>
        <w:tcPr>
          <w:tcW w:w="9894" w:type="dxa"/>
          <w:vAlign w:val="bottom"/>
        </w:tcPr>
        <w:p w14:paraId="1AF3AD9D" w14:textId="0CD5FA37" w:rsidR="00CB2C61" w:rsidRPr="00CB2C61" w:rsidRDefault="00CB2C61" w:rsidP="00CB2C61">
          <w:pPr>
            <w:pStyle w:val="D06Footer"/>
            <w:framePr w:wrap="auto" w:vAnchor="margin" w:hAnchor="text" w:yAlign="inline"/>
            <w:rPr>
              <w:lang w:val="de-DE"/>
            </w:rPr>
          </w:pPr>
        </w:p>
        <w:sdt>
          <w:sdtPr>
            <w:rPr>
              <w:lang w:val="de-DE"/>
            </w:rPr>
            <w:id w:val="-715735034"/>
          </w:sdtPr>
          <w:sdtEndPr/>
          <w:sdtContent>
            <w:p w14:paraId="0D98F0BB"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11581862" w14:textId="77777777" w:rsidR="00CB2C61" w:rsidRPr="00CB2C61" w:rsidRDefault="00CB2C61" w:rsidP="00CB2C61">
              <w:pPr>
                <w:pStyle w:val="D06Footer"/>
                <w:framePr w:wrap="auto" w:vAnchor="margin" w:hAnchor="text" w:yAlign="inline"/>
                <w:rPr>
                  <w:lang w:val="de-DE"/>
                </w:rPr>
              </w:pPr>
            </w:p>
            <w:p w14:paraId="7BAC31DA"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180178A0"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B7D527E"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EC809FB"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7F4A7" w14:textId="77777777" w:rsidR="00967561" w:rsidRDefault="00967561" w:rsidP="002724F8">
      <w:pPr>
        <w:spacing w:line="170" w:lineRule="exact"/>
      </w:pPr>
      <w:r w:rsidRPr="00F46A21">
        <w:rPr>
          <w:sz w:val="10"/>
          <w:szCs w:val="10"/>
        </w:rPr>
        <w:separator/>
      </w:r>
    </w:p>
  </w:footnote>
  <w:footnote w:type="continuationSeparator" w:id="0">
    <w:p w14:paraId="7BEBA260" w14:textId="77777777" w:rsidR="00967561" w:rsidRPr="00E675DA" w:rsidRDefault="00967561" w:rsidP="00764B8C">
      <w:r w:rsidRPr="00E675DA">
        <w:continuationSeparator/>
      </w:r>
    </w:p>
    <w:p w14:paraId="19C12F4B" w14:textId="77777777" w:rsidR="00967561" w:rsidRDefault="009675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93C7" w14:textId="77777777" w:rsidR="00627DFF" w:rsidRDefault="00627DF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54A6" w14:textId="77777777" w:rsidR="00627DFF" w:rsidRDefault="00627DF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5A78"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0CD3707C" wp14:editId="268F0EDA">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593997D0" wp14:editId="1181DF81">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4448B4"/>
    <w:multiLevelType w:val="hybridMultilevel"/>
    <w:tmpl w:val="B8A0766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F537C9"/>
    <w:multiLevelType w:val="hybridMultilevel"/>
    <w:tmpl w:val="93B652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E679F0"/>
    <w:multiLevelType w:val="hybridMultilevel"/>
    <w:tmpl w:val="76F4FF90"/>
    <w:lvl w:ilvl="0" w:tplc="0407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A53FED"/>
    <w:multiLevelType w:val="hybridMultilevel"/>
    <w:tmpl w:val="69EA8F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310F72"/>
    <w:multiLevelType w:val="hybridMultilevel"/>
    <w:tmpl w:val="52FE6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65C3DF6"/>
    <w:multiLevelType w:val="hybridMultilevel"/>
    <w:tmpl w:val="9FB0A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2" w15:restartNumberingAfterBreak="0">
    <w:nsid w:val="728B7D65"/>
    <w:multiLevelType w:val="hybridMultilevel"/>
    <w:tmpl w:val="B4BC4948"/>
    <w:lvl w:ilvl="0" w:tplc="0407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9"/>
  </w:num>
  <w:num w:numId="12" w16cid:durableId="423838343">
    <w:abstractNumId w:val="10"/>
  </w:num>
  <w:num w:numId="13" w16cid:durableId="1293629408">
    <w:abstractNumId w:val="20"/>
  </w:num>
  <w:num w:numId="14" w16cid:durableId="1237932400">
    <w:abstractNumId w:val="23"/>
  </w:num>
  <w:num w:numId="15" w16cid:durableId="1072124215">
    <w:abstractNumId w:val="24"/>
  </w:num>
  <w:num w:numId="16" w16cid:durableId="1743990120">
    <w:abstractNumId w:val="21"/>
  </w:num>
  <w:num w:numId="17" w16cid:durableId="1086612032">
    <w:abstractNumId w:val="14"/>
  </w:num>
  <w:num w:numId="18" w16cid:durableId="366371384">
    <w:abstractNumId w:val="15"/>
  </w:num>
  <w:num w:numId="19" w16cid:durableId="1103570577">
    <w:abstractNumId w:val="23"/>
  </w:num>
  <w:num w:numId="20" w16cid:durableId="678242015">
    <w:abstractNumId w:val="12"/>
  </w:num>
  <w:num w:numId="21" w16cid:durableId="2018994739">
    <w:abstractNumId w:val="11"/>
  </w:num>
  <w:num w:numId="22" w16cid:durableId="2142573283">
    <w:abstractNumId w:val="16"/>
  </w:num>
  <w:num w:numId="23" w16cid:durableId="894003445">
    <w:abstractNumId w:val="18"/>
  </w:num>
  <w:num w:numId="24" w16cid:durableId="1419908902">
    <w:abstractNumId w:val="17"/>
  </w:num>
  <w:num w:numId="25" w16cid:durableId="1259212774">
    <w:abstractNumId w:val="13"/>
  </w:num>
  <w:num w:numId="26" w16cid:durableId="925648540">
    <w:abstractNumId w:val="18"/>
    <w:lvlOverride w:ilvl="0"/>
    <w:lvlOverride w:ilvl="1"/>
    <w:lvlOverride w:ilvl="2"/>
    <w:lvlOverride w:ilvl="3"/>
    <w:lvlOverride w:ilvl="4"/>
    <w:lvlOverride w:ilvl="5"/>
    <w:lvlOverride w:ilvl="6"/>
    <w:lvlOverride w:ilvl="7"/>
    <w:lvlOverride w:ilvl="8"/>
  </w:num>
  <w:num w:numId="27" w16cid:durableId="1719011516">
    <w:abstractNumId w:val="16"/>
    <w:lvlOverride w:ilvl="0"/>
    <w:lvlOverride w:ilvl="1"/>
    <w:lvlOverride w:ilvl="2"/>
    <w:lvlOverride w:ilvl="3"/>
    <w:lvlOverride w:ilvl="4"/>
    <w:lvlOverride w:ilvl="5"/>
    <w:lvlOverride w:ilvl="6"/>
    <w:lvlOverride w:ilvl="7"/>
    <w:lvlOverride w:ilvl="8"/>
  </w:num>
  <w:num w:numId="28" w16cid:durableId="932103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D3"/>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4C79"/>
    <w:rsid w:val="000A50A1"/>
    <w:rsid w:val="000A6302"/>
    <w:rsid w:val="000A7553"/>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0756"/>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090D"/>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57C56"/>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479"/>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241"/>
    <w:rsid w:val="0059730C"/>
    <w:rsid w:val="005A64E1"/>
    <w:rsid w:val="005A7AF9"/>
    <w:rsid w:val="005B0728"/>
    <w:rsid w:val="005B2ED1"/>
    <w:rsid w:val="005C0ED8"/>
    <w:rsid w:val="005C297B"/>
    <w:rsid w:val="005C2ECA"/>
    <w:rsid w:val="005C4F7C"/>
    <w:rsid w:val="005C6BB1"/>
    <w:rsid w:val="005D1B5A"/>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6550"/>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16BF7"/>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7159"/>
    <w:rsid w:val="007C1A9B"/>
    <w:rsid w:val="007C569D"/>
    <w:rsid w:val="007C6AB5"/>
    <w:rsid w:val="007C71CD"/>
    <w:rsid w:val="007D1DC5"/>
    <w:rsid w:val="007D1E52"/>
    <w:rsid w:val="007D6C3E"/>
    <w:rsid w:val="007E192F"/>
    <w:rsid w:val="007E234D"/>
    <w:rsid w:val="007E2854"/>
    <w:rsid w:val="007E3F4D"/>
    <w:rsid w:val="007E5235"/>
    <w:rsid w:val="007E639B"/>
    <w:rsid w:val="007E6767"/>
    <w:rsid w:val="007E78A9"/>
    <w:rsid w:val="007F0784"/>
    <w:rsid w:val="007F15E5"/>
    <w:rsid w:val="007F63C8"/>
    <w:rsid w:val="007F6D8D"/>
    <w:rsid w:val="007F764F"/>
    <w:rsid w:val="00801F2E"/>
    <w:rsid w:val="00803B73"/>
    <w:rsid w:val="00811EA6"/>
    <w:rsid w:val="00813827"/>
    <w:rsid w:val="00815703"/>
    <w:rsid w:val="008252DF"/>
    <w:rsid w:val="00825BD0"/>
    <w:rsid w:val="00826601"/>
    <w:rsid w:val="008279EE"/>
    <w:rsid w:val="00833242"/>
    <w:rsid w:val="00833778"/>
    <w:rsid w:val="00834B31"/>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275"/>
    <w:rsid w:val="008B3BE8"/>
    <w:rsid w:val="008B40D2"/>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67561"/>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F23C6"/>
    <w:rsid w:val="009F62FB"/>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67D7"/>
    <w:rsid w:val="00AC7987"/>
    <w:rsid w:val="00AD56CA"/>
    <w:rsid w:val="00AD57E0"/>
    <w:rsid w:val="00AD68F5"/>
    <w:rsid w:val="00AD765C"/>
    <w:rsid w:val="00AD766B"/>
    <w:rsid w:val="00AE080D"/>
    <w:rsid w:val="00AE0D27"/>
    <w:rsid w:val="00AE29F9"/>
    <w:rsid w:val="00AE6ED3"/>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08B9"/>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23FB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30F21"/>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4266"/>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968"/>
    <w:rsid w:val="00F64A90"/>
    <w:rsid w:val="00F67837"/>
    <w:rsid w:val="00F72E78"/>
    <w:rsid w:val="00F758DE"/>
    <w:rsid w:val="00F76E6E"/>
    <w:rsid w:val="00F77361"/>
    <w:rsid w:val="00F816CF"/>
    <w:rsid w:val="00F843F3"/>
    <w:rsid w:val="00F856AB"/>
    <w:rsid w:val="00F85F0F"/>
    <w:rsid w:val="00F909D8"/>
    <w:rsid w:val="00F91239"/>
    <w:rsid w:val="00F93AF4"/>
    <w:rsid w:val="00FA10AC"/>
    <w:rsid w:val="00FA2BAD"/>
    <w:rsid w:val="00FA2C8F"/>
    <w:rsid w:val="00FB1C51"/>
    <w:rsid w:val="00FB5D26"/>
    <w:rsid w:val="00FB6720"/>
    <w:rsid w:val="00FB6BE0"/>
    <w:rsid w:val="00FB6F6D"/>
    <w:rsid w:val="00FB7527"/>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D20F"/>
  <w15:chartTrackingRefBased/>
  <w15:docId w15:val="{F79DEC70-79A3-4D24-9575-6357199B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AE6ED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1berschrift1">
    <w:name w:val="A01_Überschrift 1"/>
    <w:basedOn w:val="Titolo1"/>
    <w:qFormat/>
    <w:rsid w:val="00AE6ED3"/>
    <w:pPr>
      <w:spacing w:after="320" w:line="240" w:lineRule="auto"/>
      <w:contextualSpacing/>
    </w:pPr>
    <w:rPr>
      <w:rFonts w:eastAsia="MB Corpo A Title Cond Office" w:cs="MB Corpo A Title Cond Office"/>
      <w:szCs w:val="32"/>
    </w:rPr>
  </w:style>
  <w:style w:type="paragraph" w:customStyle="1" w:styleId="01FlietextCopytext">
    <w:name w:val="01_Fließtext/Copy text"/>
    <w:basedOn w:val="Normale"/>
    <w:qFormat/>
    <w:rsid w:val="00AE6ED3"/>
    <w:pPr>
      <w:spacing w:line="280" w:lineRule="exact"/>
    </w:pPr>
    <w:rPr>
      <w:rFonts w:ascii="MB Corpo S Text Office Light" w:eastAsiaTheme="minorHAnsi" w:hAnsi="MB Corpo S Text Office Light"/>
      <w:kern w:val="0"/>
      <w:szCs w:val="21"/>
      <w:lang w:eastAsia="en-US"/>
      <w14:ligatures w14:val="none"/>
    </w:rPr>
  </w:style>
  <w:style w:type="paragraph" w:styleId="Testonotadichiusura">
    <w:name w:val="endnote text"/>
    <w:basedOn w:val="Normale"/>
    <w:link w:val="TestonotadichiusuraCarattere"/>
    <w:uiPriority w:val="99"/>
    <w:semiHidden/>
    <w:unhideWhenUsed/>
    <w:rsid w:val="008252DF"/>
    <w:rPr>
      <w:sz w:val="20"/>
      <w:szCs w:val="20"/>
    </w:rPr>
  </w:style>
  <w:style w:type="character" w:customStyle="1" w:styleId="TestonotadichiusuraCarattere">
    <w:name w:val="Testo nota di chiusura Carattere"/>
    <w:basedOn w:val="Carpredefinitoparagrafo"/>
    <w:link w:val="Testonotadichiusura"/>
    <w:uiPriority w:val="99"/>
    <w:semiHidden/>
    <w:rsid w:val="008252DF"/>
    <w:rPr>
      <w:rFonts w:eastAsiaTheme="minorEastAsia"/>
      <w:kern w:val="2"/>
      <w:sz w:val="20"/>
      <w:szCs w:val="20"/>
      <w:lang w:val="en-GB" w:eastAsia="de-DE"/>
      <w14:ligatures w14:val="standardContextual"/>
    </w:rPr>
  </w:style>
  <w:style w:type="character" w:styleId="Rimandonotadichiusura">
    <w:name w:val="endnote reference"/>
    <w:basedOn w:val="Carpredefinitoparagrafo"/>
    <w:uiPriority w:val="99"/>
    <w:semiHidden/>
    <w:unhideWhenUsed/>
    <w:rsid w:val="00825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C24121ABC2744813EFD2FFC756548" ma:contentTypeVersion="14" ma:contentTypeDescription="Create a new document." ma:contentTypeScope="" ma:versionID="f98cd2c5cf195ab129cb1f3793303676">
  <xsd:schema xmlns:xsd="http://www.w3.org/2001/XMLSchema" xmlns:xs="http://www.w3.org/2001/XMLSchema" xmlns:p="http://schemas.microsoft.com/office/2006/metadata/properties" xmlns:ns2="fd5f9a85-73ff-4f7a-bfd5-6b481546913a" xmlns:ns3="30c72d4c-0a2c-4f86-a8d8-92eaffa3fbe2" targetNamespace="http://schemas.microsoft.com/office/2006/metadata/properties" ma:root="true" ma:fieldsID="d4ff3c9d31706d2c76a3aa2380467090" ns2:_="" ns3:_="">
    <xsd:import namespace="fd5f9a85-73ff-4f7a-bfd5-6b481546913a"/>
    <xsd:import namespace="30c72d4c-0a2c-4f86-a8d8-92eaffa3f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f9a85-73ff-4f7a-bfd5-6b48154691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c72d4c-0a2c-4f86-a8d8-92eaffa3fb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7315f39-b46f-47a4-9ce3-859a30d83d47}" ma:internalName="TaxCatchAll" ma:showField="CatchAllData" ma:web="30c72d4c-0a2c-4f86-a8d8-92eaffa3fb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5f9a85-73ff-4f7a-bfd5-6b481546913a">
      <Terms xmlns="http://schemas.microsoft.com/office/infopath/2007/PartnerControls"/>
    </lcf76f155ced4ddcb4097134ff3c332f>
    <TaxCatchAll xmlns="30c72d4c-0a2c-4f86-a8d8-92eaffa3fbe2" xsi:nil="true"/>
  </documentManagement>
</p:properties>
</file>

<file path=customXml/itemProps1.xml><?xml version="1.0" encoding="utf-8"?>
<ds:datastoreItem xmlns:ds="http://schemas.openxmlformats.org/officeDocument/2006/customXml" ds:itemID="{A7703186-09D4-499F-BD22-CFA1FC984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f9a85-73ff-4f7a-bfd5-6b481546913a"/>
    <ds:schemaRef ds:uri="30c72d4c-0a2c-4f86-a8d8-92eaffa3f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4.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fd5f9a85-73ff-4f7a-bfd5-6b481546913a"/>
    <ds:schemaRef ds:uri="30c72d4c-0a2c-4f86-a8d8-92eaffa3fbe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1218</Words>
  <Characters>7105</Characters>
  <Application>Microsoft Office Word</Application>
  <DocSecurity>0</DocSecurity>
  <Lines>104</Lines>
  <Paragraphs>35</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Amarisse, Luca (183)</cp:lastModifiedBy>
  <cp:revision>2</cp:revision>
  <dcterms:created xsi:type="dcterms:W3CDTF">2026-03-10T10:59:00Z</dcterms:created>
  <dcterms:modified xsi:type="dcterms:W3CDTF">2026-03-10T10:59:00Z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0x0101000E3C24121ABC2744813EFD2FFC756548</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2026-03-04T16:55:14Z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aa6a51fe-d599-495f-b568-11af5c218f8b</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