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2FA61F4C" w14:textId="77777777" w:rsidTr="00B03193">
        <w:trPr>
          <w:trHeight w:val="561"/>
        </w:trPr>
        <w:tc>
          <w:tcPr>
            <w:tcW w:w="7195" w:type="dxa"/>
            <w:vMerge w:val="restart"/>
            <w:tcMar>
              <w:left w:w="0" w:type="dxa"/>
              <w:right w:w="0" w:type="dxa"/>
            </w:tcMar>
          </w:tcPr>
          <w:p w14:paraId="771F8445" w14:textId="1E194F7E"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0F223DB6" w14:textId="77777777" w:rsidR="004C5B6A" w:rsidRPr="00C610C8" w:rsidRDefault="004C5B6A" w:rsidP="00B03193">
            <w:pPr>
              <w:pStyle w:val="D02Legalentity"/>
              <w:framePr w:wrap="auto"/>
            </w:pPr>
          </w:p>
        </w:tc>
      </w:tr>
      <w:tr w:rsidR="00317376" w:rsidRPr="00C610C8" w14:paraId="219CDFA6" w14:textId="77777777" w:rsidTr="00B03193">
        <w:trPr>
          <w:trHeight w:val="374"/>
        </w:trPr>
        <w:tc>
          <w:tcPr>
            <w:tcW w:w="7195" w:type="dxa"/>
            <w:vMerge/>
            <w:tcMar>
              <w:left w:w="0" w:type="dxa"/>
              <w:right w:w="0" w:type="dxa"/>
            </w:tcMar>
          </w:tcPr>
          <w:p w14:paraId="130B7896"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3A1DBB07" w14:textId="77777777" w:rsidR="00317376" w:rsidRPr="00C610C8" w:rsidRDefault="00A7361A" w:rsidP="00B03193">
            <w:pPr>
              <w:pStyle w:val="D03Pressinformation"/>
              <w:framePr w:hSpace="0" w:wrap="auto" w:vAnchor="margin" w:hAnchor="text" w:yAlign="inline"/>
              <w:rPr>
                <w:noProof/>
                <w:szCs w:val="21"/>
              </w:rPr>
            </w:pPr>
            <w:r>
              <w:rPr>
                <w:noProof/>
                <w:szCs w:val="21"/>
              </w:rPr>
              <w:fldChar w:fldCharType="begin">
                <w:ffData>
                  <w:name w:val="Text2"/>
                  <w:enabled/>
                  <w:calcOnExit w:val="0"/>
                  <w:textInput>
                    <w:default w:val="Press Information"/>
                  </w:textInput>
                </w:ffData>
              </w:fldChar>
            </w:r>
            <w:bookmarkStart w:id="0" w:name="Text2"/>
            <w:r>
              <w:rPr>
                <w:noProof/>
                <w:szCs w:val="21"/>
              </w:rPr>
              <w:instrText xml:space="preserve"> FORMTEXT </w:instrText>
            </w:r>
            <w:r>
              <w:rPr>
                <w:noProof/>
                <w:szCs w:val="21"/>
              </w:rPr>
            </w:r>
            <w:r>
              <w:rPr>
                <w:noProof/>
                <w:szCs w:val="21"/>
              </w:rPr>
              <w:fldChar w:fldCharType="separate"/>
            </w:r>
            <w:r>
              <w:rPr>
                <w:noProof/>
                <w:szCs w:val="21"/>
              </w:rPr>
              <w:t>Informazioni per la stampa</w:t>
            </w:r>
            <w:r>
              <w:rPr>
                <w:noProof/>
                <w:szCs w:val="21"/>
              </w:rPr>
              <w:fldChar w:fldCharType="end"/>
            </w:r>
            <w:bookmarkEnd w:id="0"/>
          </w:p>
        </w:tc>
      </w:tr>
      <w:tr w:rsidR="00317376" w:rsidRPr="00C610C8" w14:paraId="408EE24B" w14:textId="77777777" w:rsidTr="00B03193">
        <w:trPr>
          <w:trHeight w:val="958"/>
        </w:trPr>
        <w:tc>
          <w:tcPr>
            <w:tcW w:w="7195" w:type="dxa"/>
            <w:vMerge/>
            <w:tcMar>
              <w:left w:w="0" w:type="dxa"/>
              <w:right w:w="0" w:type="dxa"/>
            </w:tcMar>
          </w:tcPr>
          <w:p w14:paraId="1A3CB08F"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64E5F28D" w14:textId="77777777" w:rsidR="00785C90" w:rsidRPr="00785C90" w:rsidRDefault="00785C90" w:rsidP="00785C90">
            <w:pPr>
              <w:pStyle w:val="D03Pressinformation"/>
              <w:framePr w:hSpace="0" w:wrap="auto" w:vAnchor="margin" w:hAnchor="text" w:yAlign="inline"/>
              <w:rPr>
                <w:noProof/>
                <w:sz w:val="16"/>
                <w:szCs w:val="16"/>
              </w:rPr>
            </w:pPr>
          </w:p>
          <w:p w14:paraId="254E1BD8" w14:textId="72C3BAD3" w:rsidR="00317376" w:rsidRPr="00785C90" w:rsidRDefault="00785C90" w:rsidP="00785C90">
            <w:pPr>
              <w:pStyle w:val="D03Pressinformation"/>
              <w:framePr w:hSpace="0" w:wrap="auto" w:vAnchor="margin" w:hAnchor="text" w:yAlign="inline"/>
              <w:rPr>
                <w:noProof/>
                <w:szCs w:val="21"/>
              </w:rPr>
            </w:pPr>
            <w:r>
              <w:rPr>
                <w:noProof/>
                <w:szCs w:val="21"/>
              </w:rPr>
              <w:t>22 ottobre</w:t>
            </w:r>
            <w:r w:rsidR="00B03E07" w:rsidRPr="00785C90">
              <w:rPr>
                <w:noProof/>
                <w:szCs w:val="21"/>
              </w:rPr>
              <w:t xml:space="preserve"> 2025</w:t>
            </w:r>
          </w:p>
        </w:tc>
      </w:tr>
    </w:tbl>
    <w:p w14:paraId="448C3342" w14:textId="77777777" w:rsidR="00A039F0" w:rsidRPr="00C610C8" w:rsidRDefault="00A039F0" w:rsidP="00081305">
      <w:pPr>
        <w:pStyle w:val="D04Date"/>
        <w:framePr w:wrap="around"/>
        <w:sectPr w:rsidR="00A039F0" w:rsidRPr="00C610C8" w:rsidSect="00670FB0">
          <w:footerReference w:type="default" r:id="rId11"/>
          <w:headerReference w:type="first" r:id="rId12"/>
          <w:type w:val="continuous"/>
          <w:pgSz w:w="11906" w:h="16838" w:code="9"/>
          <w:pgMar w:top="3005" w:right="652" w:bottom="1185" w:left="1361" w:header="1185" w:footer="1049" w:gutter="0"/>
          <w:cols w:space="708"/>
          <w:titlePg/>
          <w:docGrid w:linePitch="360"/>
        </w:sectPr>
      </w:pPr>
    </w:p>
    <w:p w14:paraId="100A76EA" w14:textId="0E4659F5" w:rsidR="007F0784" w:rsidRPr="00B05ED0" w:rsidRDefault="00F51307" w:rsidP="00E510FE">
      <w:pPr>
        <w:pStyle w:val="A01Headline1"/>
        <w:rPr>
          <w:lang w:val="it-IT"/>
        </w:rPr>
      </w:pPr>
      <w:r w:rsidRPr="00C610C8">
        <w:fldChar w:fldCharType="begin"/>
      </w:r>
      <w:r w:rsidRPr="00B05ED0">
        <w:rPr>
          <w:lang w:val="it-IT"/>
        </w:rPr>
        <w:instrText xml:space="preserve"> TOC \o "1-2" \f \h \z \t "</w:instrText>
      </w:r>
      <w:r w:rsidR="00B2032C" w:rsidRPr="00B05ED0">
        <w:rPr>
          <w:lang w:val="it-IT"/>
        </w:rPr>
        <w:instrText>A02_Überschrift 2/Headline 2,2,A01_Überschrift 1/Headline 1,1</w:instrText>
      </w:r>
      <w:r w:rsidRPr="00B05ED0">
        <w:rPr>
          <w:lang w:val="it-IT"/>
        </w:rPr>
        <w:instrText xml:space="preserve">" </w:instrText>
      </w:r>
      <w:r w:rsidRPr="00C610C8">
        <w:fldChar w:fldCharType="separate"/>
      </w:r>
      <w:r w:rsidRPr="00C610C8">
        <w:fldChar w:fldCharType="end"/>
      </w:r>
      <w:bookmarkStart w:id="1" w:name="_Hlk197606705"/>
      <w:r w:rsidR="00702CB7" w:rsidRPr="00702CB7">
        <w:rPr>
          <w:lang w:val="it-IT"/>
        </w:rPr>
        <w:t xml:space="preserve">Nuova Mercedes-Benz GLC elettrica: </w:t>
      </w:r>
      <w:r w:rsidR="00191D6B">
        <w:rPr>
          <w:lang w:val="it-IT"/>
        </w:rPr>
        <w:t xml:space="preserve">prezzi a partire </w:t>
      </w:r>
      <w:r w:rsidR="00702CB7">
        <w:rPr>
          <w:lang w:val="it-IT"/>
        </w:rPr>
        <w:t>da</w:t>
      </w:r>
      <w:r w:rsidR="00702CB7" w:rsidRPr="00702CB7">
        <w:rPr>
          <w:lang w:val="it-IT"/>
        </w:rPr>
        <w:t xml:space="preserve"> 72.588 euro nella versione GLC 400 4MATIC</w:t>
      </w:r>
      <w:r w:rsidR="00702CB7">
        <w:rPr>
          <w:lang w:val="it-IT"/>
        </w:rPr>
        <w:t xml:space="preserve"> ADVANCED</w:t>
      </w:r>
      <w:bookmarkEnd w:id="1"/>
    </w:p>
    <w:p w14:paraId="3813EE13" w14:textId="77B41E38" w:rsidR="00702CB7" w:rsidRPr="00702CB7" w:rsidRDefault="00702CB7" w:rsidP="00B05ED0">
      <w:pPr>
        <w:pStyle w:val="A06Quote"/>
        <w:jc w:val="left"/>
        <w:rPr>
          <w:rFonts w:asciiTheme="minorHAnsi" w:eastAsiaTheme="minorHAnsi" w:hAnsiTheme="minorHAnsi"/>
          <w:b/>
          <w:bCs/>
          <w:lang w:val="it-IT" w:eastAsia="en-US"/>
        </w:rPr>
      </w:pPr>
      <w:r w:rsidRPr="00702CB7">
        <w:rPr>
          <w:rFonts w:asciiTheme="minorHAnsi" w:eastAsiaTheme="minorHAnsi" w:hAnsiTheme="minorHAnsi"/>
          <w:b/>
          <w:bCs/>
          <w:lang w:val="it-IT" w:eastAsia="en-US"/>
        </w:rPr>
        <w:t xml:space="preserve">La nuova GLC 100% elettrica debutta in Italia con </w:t>
      </w:r>
      <w:r w:rsidR="00A81414">
        <w:rPr>
          <w:rFonts w:asciiTheme="minorHAnsi" w:eastAsiaTheme="minorHAnsi" w:hAnsiTheme="minorHAnsi"/>
          <w:b/>
          <w:bCs/>
          <w:lang w:val="it-IT" w:eastAsia="en-US"/>
        </w:rPr>
        <w:t>la versione</w:t>
      </w:r>
      <w:r w:rsidRPr="00702CB7">
        <w:rPr>
          <w:rFonts w:asciiTheme="minorHAnsi" w:eastAsiaTheme="minorHAnsi" w:hAnsiTheme="minorHAnsi"/>
          <w:b/>
          <w:bCs/>
          <w:lang w:val="it-IT" w:eastAsia="en-US"/>
        </w:rPr>
        <w:t xml:space="preserve"> </w:t>
      </w:r>
      <w:r w:rsidRPr="00702CB7">
        <w:rPr>
          <w:rFonts w:asciiTheme="minorHAnsi" w:eastAsiaTheme="minorHAnsi" w:hAnsiTheme="minorHAnsi"/>
          <w:b/>
          <w:bCs/>
          <w:lang w:val="it-IT" w:eastAsia="en-US"/>
        </w:rPr>
        <w:t>GLC 400 4MATIC</w:t>
      </w:r>
      <w:r w:rsidRPr="00702CB7">
        <w:rPr>
          <w:rFonts w:asciiTheme="minorHAnsi" w:eastAsiaTheme="minorHAnsi" w:hAnsiTheme="minorHAnsi"/>
          <w:b/>
          <w:bCs/>
          <w:lang w:val="it-IT" w:eastAsia="en-US"/>
        </w:rPr>
        <w:t xml:space="preserve"> e quattro </w:t>
      </w:r>
      <w:r w:rsidR="00A81414">
        <w:rPr>
          <w:rFonts w:asciiTheme="minorHAnsi" w:eastAsiaTheme="minorHAnsi" w:hAnsiTheme="minorHAnsi"/>
          <w:b/>
          <w:bCs/>
          <w:lang w:val="it-IT" w:eastAsia="en-US"/>
        </w:rPr>
        <w:t>line di allestimento</w:t>
      </w:r>
      <w:r w:rsidRPr="00702CB7">
        <w:rPr>
          <w:rFonts w:asciiTheme="minorHAnsi" w:eastAsiaTheme="minorHAnsi" w:hAnsiTheme="minorHAnsi"/>
          <w:b/>
          <w:bCs/>
          <w:lang w:val="it-IT" w:eastAsia="en-US"/>
        </w:rPr>
        <w:t xml:space="preserve">: </w:t>
      </w:r>
      <w:r w:rsidRPr="00702CB7">
        <w:rPr>
          <w:rFonts w:asciiTheme="minorHAnsi" w:eastAsiaTheme="minorHAnsi" w:hAnsiTheme="minorHAnsi"/>
          <w:b/>
          <w:bCs/>
          <w:lang w:val="it-IT" w:eastAsia="en-US"/>
        </w:rPr>
        <w:t>ADVANCED</w:t>
      </w:r>
      <w:r w:rsidRPr="00702CB7">
        <w:rPr>
          <w:rFonts w:asciiTheme="minorHAnsi" w:eastAsiaTheme="minorHAnsi" w:hAnsiTheme="minorHAnsi"/>
          <w:b/>
          <w:bCs/>
          <w:lang w:val="it-IT" w:eastAsia="en-US"/>
        </w:rPr>
        <w:t xml:space="preserve">, </w:t>
      </w:r>
      <w:r w:rsidRPr="00702CB7">
        <w:rPr>
          <w:rFonts w:asciiTheme="minorHAnsi" w:eastAsiaTheme="minorHAnsi" w:hAnsiTheme="minorHAnsi"/>
          <w:b/>
          <w:bCs/>
          <w:lang w:val="it-IT" w:eastAsia="en-US"/>
        </w:rPr>
        <w:t>ADVANCED PLUS</w:t>
      </w:r>
      <w:r w:rsidR="00B36B5C">
        <w:rPr>
          <w:rFonts w:asciiTheme="minorHAnsi" w:eastAsiaTheme="minorHAnsi" w:hAnsiTheme="minorHAnsi"/>
          <w:b/>
          <w:bCs/>
          <w:lang w:val="it-IT" w:eastAsia="en-US"/>
        </w:rPr>
        <w:t>, PREMIUM</w:t>
      </w:r>
      <w:r w:rsidRPr="00702CB7">
        <w:rPr>
          <w:rFonts w:asciiTheme="minorHAnsi" w:eastAsiaTheme="minorHAnsi" w:hAnsiTheme="minorHAnsi"/>
          <w:b/>
          <w:bCs/>
          <w:lang w:val="it-IT" w:eastAsia="en-US"/>
        </w:rPr>
        <w:t xml:space="preserve"> e </w:t>
      </w:r>
      <w:r w:rsidRPr="00702CB7">
        <w:rPr>
          <w:rFonts w:asciiTheme="minorHAnsi" w:eastAsiaTheme="minorHAnsi" w:hAnsiTheme="minorHAnsi"/>
          <w:b/>
          <w:bCs/>
          <w:lang w:val="it-IT" w:eastAsia="en-US"/>
        </w:rPr>
        <w:t>PREMIUM PLUS</w:t>
      </w:r>
      <w:r w:rsidRPr="00702CB7">
        <w:rPr>
          <w:rFonts w:asciiTheme="minorHAnsi" w:eastAsiaTheme="minorHAnsi" w:hAnsiTheme="minorHAnsi"/>
          <w:b/>
          <w:bCs/>
          <w:lang w:val="it-IT" w:eastAsia="en-US"/>
        </w:rPr>
        <w:t>. Il listino parte da 7</w:t>
      </w:r>
      <w:r w:rsidRPr="00702CB7">
        <w:rPr>
          <w:rFonts w:asciiTheme="minorHAnsi" w:eastAsiaTheme="minorHAnsi" w:hAnsiTheme="minorHAnsi"/>
          <w:b/>
          <w:bCs/>
          <w:lang w:val="it-IT" w:eastAsia="en-US"/>
        </w:rPr>
        <w:t>2.588 euro nella versione GLC 400 4MATIC ADVANCED</w:t>
      </w:r>
      <w:r w:rsidRPr="00702CB7">
        <w:rPr>
          <w:rFonts w:asciiTheme="minorHAnsi" w:eastAsiaTheme="minorHAnsi" w:hAnsiTheme="minorHAnsi"/>
          <w:b/>
          <w:bCs/>
          <w:lang w:val="it-IT" w:eastAsia="en-US"/>
        </w:rPr>
        <w:t xml:space="preserve">. </w:t>
      </w:r>
      <w:r w:rsidRPr="00702CB7">
        <w:rPr>
          <w:rFonts w:asciiTheme="minorHAnsi" w:eastAsiaTheme="minorHAnsi" w:hAnsiTheme="minorHAnsi"/>
          <w:b/>
          <w:bCs/>
          <w:lang w:val="it-IT" w:eastAsia="en-US"/>
        </w:rPr>
        <w:t xml:space="preserve">La </w:t>
      </w:r>
      <w:r>
        <w:rPr>
          <w:rFonts w:asciiTheme="minorHAnsi" w:eastAsiaTheme="minorHAnsi" w:hAnsiTheme="minorHAnsi"/>
          <w:b/>
          <w:bCs/>
          <w:lang w:val="it-IT" w:eastAsia="en-US"/>
        </w:rPr>
        <w:t>nuova</w:t>
      </w:r>
      <w:r w:rsidRPr="00702CB7">
        <w:rPr>
          <w:rFonts w:asciiTheme="minorHAnsi" w:eastAsiaTheme="minorHAnsi" w:hAnsiTheme="minorHAnsi"/>
          <w:b/>
          <w:bCs/>
          <w:lang w:val="it-IT" w:eastAsia="en-US"/>
        </w:rPr>
        <w:t xml:space="preserve"> GLC elettrica è il risultato di un intenso dialogo con i clienti</w:t>
      </w:r>
      <w:r>
        <w:rPr>
          <w:rFonts w:asciiTheme="minorHAnsi" w:eastAsiaTheme="minorHAnsi" w:hAnsiTheme="minorHAnsi"/>
          <w:b/>
          <w:bCs/>
          <w:lang w:val="it-IT" w:eastAsia="en-US"/>
        </w:rPr>
        <w:t xml:space="preserve"> che ha portato alla realizzazione di una nuova pietra miliare nella storia del Brand, che si distingue per un design iconico</w:t>
      </w:r>
      <w:r w:rsidRPr="00702CB7">
        <w:rPr>
          <w:rFonts w:asciiTheme="minorHAnsi" w:eastAsiaTheme="minorHAnsi" w:hAnsiTheme="minorHAnsi"/>
          <w:b/>
          <w:bCs/>
          <w:lang w:val="it-IT" w:eastAsia="en-US"/>
        </w:rPr>
        <w:t xml:space="preserve">, </w:t>
      </w:r>
      <w:r>
        <w:rPr>
          <w:rFonts w:asciiTheme="minorHAnsi" w:eastAsiaTheme="minorHAnsi" w:hAnsiTheme="minorHAnsi"/>
          <w:b/>
          <w:bCs/>
          <w:lang w:val="it-IT" w:eastAsia="en-US"/>
        </w:rPr>
        <w:t>eccellenza tecnologica applicata in ogni ambito</w:t>
      </w:r>
      <w:r w:rsidRPr="00702CB7">
        <w:rPr>
          <w:rFonts w:asciiTheme="minorHAnsi" w:eastAsiaTheme="minorHAnsi" w:hAnsiTheme="minorHAnsi"/>
          <w:b/>
          <w:bCs/>
          <w:lang w:val="it-IT" w:eastAsia="en-US"/>
        </w:rPr>
        <w:t xml:space="preserve"> e potente dinamica di guida. </w:t>
      </w:r>
      <w:r>
        <w:rPr>
          <w:rFonts w:asciiTheme="minorHAnsi" w:eastAsiaTheme="minorHAnsi" w:hAnsiTheme="minorHAnsi"/>
          <w:b/>
          <w:bCs/>
          <w:lang w:val="it-IT" w:eastAsia="en-US"/>
        </w:rPr>
        <w:t xml:space="preserve">Il nuovo modello va ad arricchire una gamma che da sempre rappresenta un vero e proprio bestseller della Stella, </w:t>
      </w:r>
      <w:r w:rsidR="004F48A4">
        <w:rPr>
          <w:rFonts w:asciiTheme="minorHAnsi" w:eastAsiaTheme="minorHAnsi" w:hAnsiTheme="minorHAnsi"/>
          <w:b/>
          <w:bCs/>
          <w:lang w:val="it-IT" w:eastAsia="en-US"/>
        </w:rPr>
        <w:t>con</w:t>
      </w:r>
      <w:r w:rsidR="004F48A4" w:rsidRPr="004F48A4">
        <w:rPr>
          <w:rFonts w:asciiTheme="minorHAnsi" w:eastAsiaTheme="minorHAnsi" w:hAnsiTheme="minorHAnsi"/>
          <w:b/>
          <w:bCs/>
          <w:lang w:val="it-IT" w:eastAsia="en-US"/>
        </w:rPr>
        <w:t xml:space="preserve"> un’offerta che </w:t>
      </w:r>
      <w:r w:rsidR="004F48A4">
        <w:rPr>
          <w:rFonts w:asciiTheme="minorHAnsi" w:eastAsiaTheme="minorHAnsi" w:hAnsiTheme="minorHAnsi"/>
          <w:b/>
          <w:bCs/>
          <w:lang w:val="it-IT" w:eastAsia="en-US"/>
        </w:rPr>
        <w:t>include</w:t>
      </w:r>
      <w:r w:rsidR="004F48A4" w:rsidRPr="004F48A4">
        <w:rPr>
          <w:rFonts w:asciiTheme="minorHAnsi" w:eastAsiaTheme="minorHAnsi" w:hAnsiTheme="minorHAnsi"/>
          <w:b/>
          <w:bCs/>
          <w:lang w:val="it-IT" w:eastAsia="en-US"/>
        </w:rPr>
        <w:t xml:space="preserve"> motori benzina </w:t>
      </w:r>
      <w:r w:rsidR="004F48A4">
        <w:rPr>
          <w:rFonts w:asciiTheme="minorHAnsi" w:eastAsiaTheme="minorHAnsi" w:hAnsiTheme="minorHAnsi"/>
          <w:b/>
          <w:bCs/>
          <w:lang w:val="it-IT" w:eastAsia="en-US"/>
        </w:rPr>
        <w:t>e</w:t>
      </w:r>
      <w:r w:rsidR="004F48A4" w:rsidRPr="004F48A4">
        <w:rPr>
          <w:rFonts w:asciiTheme="minorHAnsi" w:eastAsiaTheme="minorHAnsi" w:hAnsiTheme="minorHAnsi"/>
          <w:b/>
          <w:bCs/>
          <w:lang w:val="it-IT" w:eastAsia="en-US"/>
        </w:rPr>
        <w:t xml:space="preserve"> diesel</w:t>
      </w:r>
      <w:r w:rsidR="004F48A4">
        <w:rPr>
          <w:rFonts w:asciiTheme="minorHAnsi" w:eastAsiaTheme="minorHAnsi" w:hAnsiTheme="minorHAnsi"/>
          <w:b/>
          <w:bCs/>
          <w:lang w:val="it-IT" w:eastAsia="en-US"/>
        </w:rPr>
        <w:t xml:space="preserve"> di ultima generazione</w:t>
      </w:r>
      <w:r w:rsidR="004F48A4" w:rsidRPr="004F48A4">
        <w:rPr>
          <w:rFonts w:asciiTheme="minorHAnsi" w:eastAsiaTheme="minorHAnsi" w:hAnsiTheme="minorHAnsi"/>
          <w:b/>
          <w:bCs/>
          <w:lang w:val="it-IT" w:eastAsia="en-US"/>
        </w:rPr>
        <w:t>, anche plug-in, un unicum nel panorama automobilistico.</w:t>
      </w:r>
      <w:r w:rsidR="00C65B0A">
        <w:rPr>
          <w:rFonts w:asciiTheme="minorHAnsi" w:eastAsiaTheme="minorHAnsi" w:hAnsiTheme="minorHAnsi"/>
          <w:b/>
          <w:bCs/>
          <w:lang w:val="it-IT" w:eastAsia="en-US"/>
        </w:rPr>
        <w:t xml:space="preserve"> </w:t>
      </w:r>
    </w:p>
    <w:p w14:paraId="0473E85A" w14:textId="77777777" w:rsidR="00702CB7" w:rsidRPr="00702CB7" w:rsidRDefault="00702CB7" w:rsidP="00B05ED0">
      <w:pPr>
        <w:pStyle w:val="A06Quote"/>
        <w:jc w:val="left"/>
        <w:rPr>
          <w:rFonts w:asciiTheme="minorHAnsi" w:eastAsiaTheme="minorHAnsi" w:hAnsiTheme="minorHAnsi"/>
          <w:lang w:val="it-IT" w:eastAsia="en-US"/>
        </w:rPr>
      </w:pPr>
    </w:p>
    <w:p w14:paraId="30CC5190" w14:textId="40BE114C" w:rsidR="004F48A4" w:rsidRDefault="004F48A4" w:rsidP="004F48A4">
      <w:pPr>
        <w:pStyle w:val="A06Quote"/>
        <w:jc w:val="left"/>
        <w:rPr>
          <w:rFonts w:asciiTheme="minorHAnsi" w:eastAsiaTheme="minorHAnsi" w:hAnsiTheme="minorHAnsi"/>
          <w:lang w:val="it-IT" w:eastAsia="en-US"/>
        </w:rPr>
      </w:pPr>
      <w:r w:rsidRPr="004F48A4">
        <w:rPr>
          <w:rFonts w:asciiTheme="minorHAnsi" w:eastAsiaTheme="minorHAnsi" w:hAnsiTheme="minorHAnsi"/>
          <w:lang w:val="it-IT" w:eastAsia="en-US"/>
        </w:rPr>
        <w:t>GLC è da anni il modello di punta di Mercedes-Benz, costantemente in cima alle classifiche di vendita a livello globale</w:t>
      </w:r>
      <w:r>
        <w:rPr>
          <w:rFonts w:asciiTheme="minorHAnsi" w:eastAsiaTheme="minorHAnsi" w:hAnsiTheme="minorHAnsi"/>
          <w:lang w:val="it-IT" w:eastAsia="en-US"/>
        </w:rPr>
        <w:t>.</w:t>
      </w:r>
      <w:r w:rsidRPr="004F48A4">
        <w:rPr>
          <w:rFonts w:asciiTheme="minorHAnsi" w:eastAsiaTheme="minorHAnsi" w:hAnsiTheme="minorHAnsi"/>
          <w:lang w:val="it-IT" w:eastAsia="en-US"/>
        </w:rPr>
        <w:t xml:space="preserve"> </w:t>
      </w:r>
      <w:r>
        <w:rPr>
          <w:rFonts w:asciiTheme="minorHAnsi" w:eastAsiaTheme="minorHAnsi" w:hAnsiTheme="minorHAnsi"/>
          <w:lang w:val="it-IT" w:eastAsia="en-US"/>
        </w:rPr>
        <w:t>Da oggi</w:t>
      </w:r>
      <w:r w:rsidR="00C65B0A">
        <w:rPr>
          <w:rFonts w:asciiTheme="minorHAnsi" w:eastAsiaTheme="minorHAnsi" w:hAnsiTheme="minorHAnsi"/>
          <w:lang w:val="it-IT" w:eastAsia="en-US"/>
        </w:rPr>
        <w:t>,</w:t>
      </w:r>
      <w:r>
        <w:rPr>
          <w:rFonts w:asciiTheme="minorHAnsi" w:eastAsiaTheme="minorHAnsi" w:hAnsiTheme="minorHAnsi"/>
          <w:lang w:val="it-IT" w:eastAsia="en-US"/>
        </w:rPr>
        <w:t xml:space="preserve"> l’offerta di questo bestseller </w:t>
      </w:r>
      <w:r w:rsidR="00C65B0A">
        <w:rPr>
          <w:rFonts w:asciiTheme="minorHAnsi" w:eastAsiaTheme="minorHAnsi" w:hAnsiTheme="minorHAnsi"/>
          <w:lang w:val="it-IT" w:eastAsia="en-US"/>
        </w:rPr>
        <w:t xml:space="preserve">si amplia con una variante </w:t>
      </w:r>
      <w:r>
        <w:rPr>
          <w:rFonts w:asciiTheme="minorHAnsi" w:eastAsiaTheme="minorHAnsi" w:hAnsiTheme="minorHAnsi"/>
          <w:lang w:val="it-IT" w:eastAsia="en-US"/>
        </w:rPr>
        <w:t xml:space="preserve">100% </w:t>
      </w:r>
      <w:r w:rsidRPr="004F48A4">
        <w:rPr>
          <w:rFonts w:asciiTheme="minorHAnsi" w:eastAsiaTheme="minorHAnsi" w:hAnsiTheme="minorHAnsi"/>
          <w:lang w:val="it-IT" w:eastAsia="en-US"/>
        </w:rPr>
        <w:t>elettrica</w:t>
      </w:r>
      <w:r>
        <w:rPr>
          <w:rFonts w:asciiTheme="minorHAnsi" w:eastAsiaTheme="minorHAnsi" w:hAnsiTheme="minorHAnsi"/>
          <w:lang w:val="it-IT" w:eastAsia="en-US"/>
        </w:rPr>
        <w:t>, disponibile al lancio</w:t>
      </w:r>
      <w:r w:rsidR="00C65B0A">
        <w:rPr>
          <w:rFonts w:asciiTheme="minorHAnsi" w:eastAsiaTheme="minorHAnsi" w:hAnsiTheme="minorHAnsi"/>
          <w:lang w:val="it-IT" w:eastAsia="en-US"/>
        </w:rPr>
        <w:t xml:space="preserve"> nella versione GLC 400 4MATIC</w:t>
      </w:r>
      <w:r>
        <w:rPr>
          <w:rFonts w:asciiTheme="minorHAnsi" w:eastAsiaTheme="minorHAnsi" w:hAnsiTheme="minorHAnsi"/>
          <w:lang w:val="it-IT" w:eastAsia="en-US"/>
        </w:rPr>
        <w:t xml:space="preserve"> da 490 CV</w:t>
      </w:r>
      <w:r w:rsidR="00A81414">
        <w:rPr>
          <w:rFonts w:asciiTheme="minorHAnsi" w:eastAsiaTheme="minorHAnsi" w:hAnsiTheme="minorHAnsi"/>
          <w:lang w:val="it-IT" w:eastAsia="en-US"/>
        </w:rPr>
        <w:t xml:space="preserve"> </w:t>
      </w:r>
      <w:r w:rsidR="00A81414" w:rsidRPr="00A81414">
        <w:rPr>
          <w:rFonts w:asciiTheme="minorHAnsi" w:eastAsiaTheme="minorHAnsi" w:hAnsiTheme="minorHAnsi"/>
          <w:lang w:val="it-IT" w:eastAsia="en-US"/>
        </w:rPr>
        <w:t xml:space="preserve">e un’autonomia WLTP  fino a 715 km, </w:t>
      </w:r>
      <w:r>
        <w:rPr>
          <w:rFonts w:asciiTheme="minorHAnsi" w:eastAsiaTheme="minorHAnsi" w:hAnsiTheme="minorHAnsi"/>
          <w:lang w:val="it-IT" w:eastAsia="en-US"/>
        </w:rPr>
        <w:t xml:space="preserve">cui seguiranno altre quattro </w:t>
      </w:r>
      <w:r w:rsidR="00C65B0A">
        <w:rPr>
          <w:rFonts w:asciiTheme="minorHAnsi" w:eastAsiaTheme="minorHAnsi" w:hAnsiTheme="minorHAnsi"/>
          <w:lang w:val="it-IT" w:eastAsia="en-US"/>
        </w:rPr>
        <w:t xml:space="preserve">motorizzazioni. </w:t>
      </w:r>
      <w:r w:rsidR="00C65B0A" w:rsidRPr="00C65B0A">
        <w:rPr>
          <w:rFonts w:asciiTheme="minorHAnsi" w:eastAsiaTheme="minorHAnsi" w:hAnsiTheme="minorHAnsi"/>
          <w:lang w:val="it-IT" w:eastAsia="en-US"/>
        </w:rPr>
        <w:t xml:space="preserve">La nuova GLC </w:t>
      </w:r>
      <w:r w:rsidR="00C65B0A">
        <w:rPr>
          <w:rFonts w:asciiTheme="minorHAnsi" w:eastAsiaTheme="minorHAnsi" w:hAnsiTheme="minorHAnsi"/>
          <w:lang w:val="it-IT" w:eastAsia="en-US"/>
        </w:rPr>
        <w:t>full electric</w:t>
      </w:r>
      <w:r w:rsidR="00C65B0A" w:rsidRPr="00C65B0A">
        <w:rPr>
          <w:rFonts w:asciiTheme="minorHAnsi" w:eastAsiaTheme="minorHAnsi" w:hAnsiTheme="minorHAnsi"/>
          <w:lang w:val="it-IT" w:eastAsia="en-US"/>
        </w:rPr>
        <w:t xml:space="preserve"> debutta in Italia </w:t>
      </w:r>
      <w:r w:rsidR="00C65B0A">
        <w:rPr>
          <w:rFonts w:asciiTheme="minorHAnsi" w:eastAsiaTheme="minorHAnsi" w:hAnsiTheme="minorHAnsi"/>
          <w:lang w:val="it-IT" w:eastAsia="en-US"/>
        </w:rPr>
        <w:t xml:space="preserve">con </w:t>
      </w:r>
      <w:r w:rsidR="001A4D2C">
        <w:rPr>
          <w:rFonts w:asciiTheme="minorHAnsi" w:eastAsiaTheme="minorHAnsi" w:hAnsiTheme="minorHAnsi"/>
          <w:lang w:val="it-IT" w:eastAsia="en-US"/>
        </w:rPr>
        <w:t>prezzi a partire</w:t>
      </w:r>
      <w:r w:rsidR="00C65B0A">
        <w:rPr>
          <w:rFonts w:asciiTheme="minorHAnsi" w:eastAsiaTheme="minorHAnsi" w:hAnsiTheme="minorHAnsi"/>
          <w:lang w:val="it-IT" w:eastAsia="en-US"/>
        </w:rPr>
        <w:t xml:space="preserve"> da </w:t>
      </w:r>
      <w:r w:rsidR="00C65B0A" w:rsidRPr="00C65B0A">
        <w:rPr>
          <w:rFonts w:asciiTheme="minorHAnsi" w:eastAsiaTheme="minorHAnsi" w:hAnsiTheme="minorHAnsi"/>
          <w:lang w:val="it-IT" w:eastAsia="en-US"/>
        </w:rPr>
        <w:t>72.588 euro</w:t>
      </w:r>
      <w:r w:rsidR="00C65B0A">
        <w:rPr>
          <w:rFonts w:asciiTheme="minorHAnsi" w:eastAsiaTheme="minorHAnsi" w:hAnsiTheme="minorHAnsi"/>
          <w:lang w:val="it-IT" w:eastAsia="en-US"/>
        </w:rPr>
        <w:t xml:space="preserve"> per la </w:t>
      </w:r>
      <w:r w:rsidR="00C65B0A" w:rsidRPr="00C65B0A">
        <w:rPr>
          <w:rFonts w:asciiTheme="minorHAnsi" w:eastAsiaTheme="minorHAnsi" w:hAnsiTheme="minorHAnsi"/>
          <w:lang w:val="it-IT" w:eastAsia="en-US"/>
        </w:rPr>
        <w:t>GLC 400 4MATIC ADVANCED</w:t>
      </w:r>
      <w:r w:rsidR="00C65B0A">
        <w:rPr>
          <w:rFonts w:asciiTheme="minorHAnsi" w:eastAsiaTheme="minorHAnsi" w:hAnsiTheme="minorHAnsi"/>
          <w:lang w:val="it-IT" w:eastAsia="en-US"/>
        </w:rPr>
        <w:t xml:space="preserve"> e quattro diverse proposte di allestimento </w:t>
      </w:r>
      <w:r w:rsidR="00C65B0A" w:rsidRPr="00C65B0A">
        <w:rPr>
          <w:rFonts w:asciiTheme="minorHAnsi" w:eastAsiaTheme="minorHAnsi" w:hAnsiTheme="minorHAnsi"/>
          <w:lang w:val="it-IT" w:eastAsia="en-US"/>
        </w:rPr>
        <w:t>ADVANCED, ADVANCED PLUS</w:t>
      </w:r>
      <w:r w:rsidR="00B36B5C">
        <w:rPr>
          <w:rFonts w:asciiTheme="minorHAnsi" w:eastAsiaTheme="minorHAnsi" w:hAnsiTheme="minorHAnsi"/>
          <w:lang w:val="it-IT" w:eastAsia="en-US"/>
        </w:rPr>
        <w:t>, PREMIUM</w:t>
      </w:r>
      <w:r w:rsidR="00C65B0A" w:rsidRPr="00C65B0A">
        <w:rPr>
          <w:rFonts w:asciiTheme="minorHAnsi" w:eastAsiaTheme="minorHAnsi" w:hAnsiTheme="minorHAnsi"/>
          <w:lang w:val="it-IT" w:eastAsia="en-US"/>
        </w:rPr>
        <w:t xml:space="preserve"> e PREMIUM PLUS. </w:t>
      </w:r>
    </w:p>
    <w:p w14:paraId="72403FAC" w14:textId="77777777" w:rsidR="001A4D2C" w:rsidRDefault="001A4D2C" w:rsidP="004F48A4">
      <w:pPr>
        <w:pStyle w:val="A06Quote"/>
        <w:jc w:val="left"/>
        <w:rPr>
          <w:rFonts w:asciiTheme="minorHAnsi" w:eastAsiaTheme="minorHAnsi" w:hAnsiTheme="minorHAnsi"/>
          <w:lang w:val="it-IT" w:eastAsia="en-US"/>
        </w:rPr>
      </w:pPr>
    </w:p>
    <w:p w14:paraId="28BB7199" w14:textId="77777777" w:rsid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 xml:space="preserve">Mercedes Benz </w:t>
      </w:r>
      <w:r>
        <w:rPr>
          <w:rFonts w:asciiTheme="minorHAnsi" w:eastAsiaTheme="minorHAnsi" w:hAnsiTheme="minorHAnsi"/>
          <w:lang w:val="it-IT" w:eastAsia="en-US"/>
        </w:rPr>
        <w:t>continuerà ad offrire</w:t>
      </w:r>
      <w:r w:rsidRPr="001A4D2C">
        <w:rPr>
          <w:rFonts w:asciiTheme="minorHAnsi" w:eastAsiaTheme="minorHAnsi" w:hAnsiTheme="minorHAnsi"/>
          <w:lang w:val="it-IT" w:eastAsia="en-US"/>
        </w:rPr>
        <w:t xml:space="preserve"> una gamma diversificata di sistemi di propulsione per </w:t>
      </w:r>
      <w:r>
        <w:rPr>
          <w:rFonts w:asciiTheme="minorHAnsi" w:eastAsiaTheme="minorHAnsi" w:hAnsiTheme="minorHAnsi"/>
          <w:lang w:val="it-IT" w:eastAsia="en-US"/>
        </w:rPr>
        <w:t>rispondere senza compromessi alle esigenze dei propri clienti e per questo l’attuale gamma endotermica continuerà a rappresentare un punto di riferimento importante all’interno dell’offerta di GLC</w:t>
      </w:r>
      <w:r w:rsidRPr="001A4D2C">
        <w:rPr>
          <w:rFonts w:asciiTheme="minorHAnsi" w:eastAsiaTheme="minorHAnsi" w:hAnsiTheme="minorHAnsi"/>
          <w:lang w:val="it-IT" w:eastAsia="en-US"/>
        </w:rPr>
        <w:t>.</w:t>
      </w:r>
    </w:p>
    <w:p w14:paraId="732DC5AE" w14:textId="77777777" w:rsidR="001A4D2C" w:rsidRDefault="001A4D2C" w:rsidP="001A4D2C">
      <w:pPr>
        <w:pStyle w:val="A06Quote"/>
        <w:jc w:val="left"/>
        <w:rPr>
          <w:rFonts w:asciiTheme="minorHAnsi" w:eastAsiaTheme="minorHAnsi" w:hAnsiTheme="minorHAnsi"/>
          <w:lang w:val="it-IT" w:eastAsia="en-US"/>
        </w:rPr>
      </w:pPr>
    </w:p>
    <w:p w14:paraId="139DAFD1" w14:textId="5F398B5C"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 xml:space="preserve">Con un'autonomia impressionante, </w:t>
      </w:r>
      <w:r>
        <w:rPr>
          <w:rFonts w:asciiTheme="minorHAnsi" w:eastAsiaTheme="minorHAnsi" w:hAnsiTheme="minorHAnsi"/>
          <w:lang w:val="it-IT" w:eastAsia="en-US"/>
        </w:rPr>
        <w:t xml:space="preserve">elevate prestazioni, un deciso upgrade tecnologico a tutto tondo </w:t>
      </w:r>
      <w:r w:rsidRPr="001A4D2C">
        <w:rPr>
          <w:rFonts w:asciiTheme="minorHAnsi" w:eastAsiaTheme="minorHAnsi" w:hAnsiTheme="minorHAnsi"/>
          <w:lang w:val="it-IT" w:eastAsia="en-US"/>
        </w:rPr>
        <w:t xml:space="preserve">e il comfort che ci si aspetta da una Mercedes Benz, la nuova GLC definisce il futuro della guida elettrica. </w:t>
      </w:r>
    </w:p>
    <w:p w14:paraId="236EA717" w14:textId="77777777" w:rsidR="001A4D2C" w:rsidRPr="001A4D2C" w:rsidRDefault="001A4D2C" w:rsidP="001A4D2C">
      <w:pPr>
        <w:pStyle w:val="A06Quote"/>
        <w:jc w:val="left"/>
        <w:rPr>
          <w:rFonts w:asciiTheme="minorHAnsi" w:eastAsiaTheme="minorHAnsi" w:hAnsiTheme="minorHAnsi"/>
          <w:lang w:val="it-IT" w:eastAsia="en-US"/>
        </w:rPr>
      </w:pPr>
    </w:p>
    <w:p w14:paraId="670CDFBD"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MB.OS: il super cervello guidato dall'intelligenza artificiale che alimenta la nuovissima GLC elettrica</w:t>
      </w:r>
    </w:p>
    <w:p w14:paraId="73F05350"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Proprio come il cervello umano orchestra i pensieri, i sensi e le azioni, il Mercedes-Benz Operating System (MB.OS) integra e controlla ogni aspetto, dall'infotainment alla guida automatizzata, dal comfort della carrozzeria alla ricarica. Al centro di questo sistema si trova un'intelligenza artificiale avanzata, che consente al veicolo di apprendere le preferenze del guidatore, adattarsi alle mutevoli condizioni e prendere decisioni in tempo reale per un'esperienza più sicura e intuitiva. Questo super cervello guidato dall’intelligenza artificiale interagisce in modo naturale con gli occupanti, garantendo un viaggio fluido e intelligente. MB.OS non solo gestisce le complessità in modo simile al cervello umano, ma sfrutta anche chip estremamente potenti in grado di eseguire 254 trilioni di operazioni al secondo.</w:t>
      </w:r>
    </w:p>
    <w:p w14:paraId="65B9155A" w14:textId="77777777" w:rsidR="001A4D2C" w:rsidRPr="001A4D2C" w:rsidRDefault="001A4D2C" w:rsidP="001A4D2C">
      <w:pPr>
        <w:pStyle w:val="A06Quote"/>
        <w:jc w:val="left"/>
        <w:rPr>
          <w:rFonts w:asciiTheme="minorHAnsi" w:eastAsiaTheme="minorHAnsi" w:hAnsiTheme="minorHAnsi"/>
          <w:lang w:val="it-IT" w:eastAsia="en-US"/>
        </w:rPr>
      </w:pPr>
    </w:p>
    <w:p w14:paraId="0875101D"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 xml:space="preserve">Questi computer ad alte prestazioni collegati al Mercedes-Benz Intelligent Cloud consentono gli aggiornamenti over-the-air  dell'intero software del veicolo, mantenendo la GLC aggiornata e attraente per molti anni. L'architettura chip-to-cloud è profondamente integrata e garantisce la protezione dei dati e la connettività dal chip al cloud. Questo controllo preciso di ogni attuatore e sensore, dall'infotainment al comfort fino alla </w:t>
      </w:r>
      <w:r w:rsidRPr="001A4D2C">
        <w:rPr>
          <w:rFonts w:asciiTheme="minorHAnsi" w:eastAsiaTheme="minorHAnsi" w:hAnsiTheme="minorHAnsi"/>
          <w:lang w:val="it-IT" w:eastAsia="en-US"/>
        </w:rPr>
        <w:lastRenderedPageBreak/>
        <w:t>ricarica, si traduce in un'esperienza di guida senza precedenti e in un'integrazione intelligente delle funzioni del veicolo nell'interfaccia utente. Grazie a MB.OS, la GLC diventa un compagno intelligente che pensa, impara e si evolve insieme al suo conducente.</w:t>
      </w:r>
    </w:p>
    <w:p w14:paraId="7AD9B893" w14:textId="77777777" w:rsidR="001A4D2C" w:rsidRPr="001A4D2C" w:rsidRDefault="001A4D2C" w:rsidP="001A4D2C">
      <w:pPr>
        <w:pStyle w:val="A06Quote"/>
        <w:jc w:val="left"/>
        <w:rPr>
          <w:rFonts w:asciiTheme="minorHAnsi" w:eastAsiaTheme="minorHAnsi" w:hAnsiTheme="minorHAnsi"/>
          <w:lang w:val="it-IT" w:eastAsia="en-US"/>
        </w:rPr>
      </w:pPr>
    </w:p>
    <w:p w14:paraId="0D8ADBC9"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 xml:space="preserve">Iconic: l'alba di una nuova era di design distintivo </w:t>
      </w:r>
    </w:p>
    <w:p w14:paraId="0121B74A"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nuova GLC incarna le proporzioni classiche di un mid-size SUV di Mercedes-Benz in modo moderno e accattivante. È la prima Mercedes-Benz con la griglia ridisegnata che identifica il marchio. Capolavoro high-tech illuminato, questa iconica calandra ridefinisce il volto del brand, trasmettendo prestigio e sicurezza. La silhouette dinamica, con le sue linee scultoree delle spalle e i passaruota pronunciati, ne enfatizza la sua potente presenza.</w:t>
      </w:r>
    </w:p>
    <w:p w14:paraId="0581516D" w14:textId="77777777" w:rsidR="001A4D2C" w:rsidRPr="001A4D2C" w:rsidRDefault="001A4D2C" w:rsidP="001A4D2C">
      <w:pPr>
        <w:pStyle w:val="A06Quote"/>
        <w:jc w:val="left"/>
        <w:rPr>
          <w:rFonts w:asciiTheme="minorHAnsi" w:eastAsiaTheme="minorHAnsi" w:hAnsiTheme="minorHAnsi"/>
          <w:lang w:val="it-IT" w:eastAsia="en-US"/>
        </w:rPr>
      </w:pPr>
    </w:p>
    <w:p w14:paraId="4D1D7746"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La Sensual Purity di GLC con vista panoramica notturna stellata</w:t>
      </w:r>
    </w:p>
    <w:p w14:paraId="7E759200"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All'interno, Mercedes Benz porta la filosofia di design Sensual Purity a un nuovo livello. Il nuovissimo MBUX HYPERSCREEN, imponente e fluttuante, crea un'esperienza spaziale impressionante e coinvolgente con eleganza digitale. L'illuminazione ambientale attiva esalta lo stile futuristico. Lo spazio generosamente esteso, soprattutto nella parte posteriore, e il tetto panoramico di serie fanno apparire l'interno aperto ed elegante. Come opzione, il tetto panoramico SKY CONTROL è disponibile con vetro commutabile e illuminazione di 162 stelle nel cielo notturno. I materiali di alta qualità garantiscono una sensazione al tatto e un'eleganza di prima classe, comprese le opzioni senza derivati animali. In questo caso, Mercedes Benz stabilisce un nuovo standard nell'uso di materiali vegani con il pacchetto Vegan opzionale. Un allestimento con materiali morbidi al tatto, certificato da The Vegan Society. Mercedes Benz è la prima casa automobilistica al mondo a offrire interni vegani certificati in modo indipendente.</w:t>
      </w:r>
    </w:p>
    <w:p w14:paraId="7F6EF538" w14:textId="77777777" w:rsidR="001A4D2C" w:rsidRPr="001A4D2C" w:rsidRDefault="001A4D2C" w:rsidP="001A4D2C">
      <w:pPr>
        <w:pStyle w:val="A06Quote"/>
        <w:jc w:val="left"/>
        <w:rPr>
          <w:rFonts w:asciiTheme="minorHAnsi" w:eastAsiaTheme="minorHAnsi" w:hAnsiTheme="minorHAnsi"/>
          <w:lang w:val="it-IT" w:eastAsia="en-US"/>
        </w:rPr>
      </w:pPr>
    </w:p>
    <w:p w14:paraId="493DB9ED" w14:textId="174C88A4"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 xml:space="preserve">Versatile: la compagna ideale </w:t>
      </w:r>
      <w:r>
        <w:rPr>
          <w:rFonts w:asciiTheme="minorHAnsi" w:eastAsiaTheme="minorHAnsi" w:hAnsiTheme="minorHAnsi"/>
          <w:b/>
          <w:bCs/>
          <w:lang w:val="it-IT" w:eastAsia="en-US"/>
        </w:rPr>
        <w:t>per</w:t>
      </w:r>
      <w:r w:rsidRPr="001A4D2C">
        <w:rPr>
          <w:rFonts w:asciiTheme="minorHAnsi" w:eastAsiaTheme="minorHAnsi" w:hAnsiTheme="minorHAnsi"/>
          <w:b/>
          <w:bCs/>
          <w:lang w:val="it-IT" w:eastAsia="en-US"/>
        </w:rPr>
        <w:t xml:space="preserve"> </w:t>
      </w:r>
      <w:r>
        <w:rPr>
          <w:rFonts w:asciiTheme="minorHAnsi" w:eastAsiaTheme="minorHAnsi" w:hAnsiTheme="minorHAnsi"/>
          <w:b/>
          <w:bCs/>
          <w:lang w:val="it-IT" w:eastAsia="en-US"/>
        </w:rPr>
        <w:t>ogni tipo di viaggio</w:t>
      </w:r>
    </w:p>
    <w:p w14:paraId="601290E9"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 xml:space="preserve">Più spazio che mai, migliora il comfort dei passeggeri e la capacità del bagagliaio </w:t>
      </w:r>
    </w:p>
    <w:p w14:paraId="434E365A"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nuovissima GLC è l’emblema di versatilità, spazio e comfort, il che la rende la compagna ideale per le avventure di tutti i giorni. Partendo dai punti di forza del modello best-seller, la GLC elettrica compie un ulteriore passo avanti in termini di comfort e spazio. Grazie a un passo allungato di 84 mm rispetto alla GLC con motore a combustione, offre un'esperienza di viaggio eccezionalmente spaziosa e confortevole. Questo si traduce in 13 mm in più di spazio per le gambe e 46 mm in più per la testa nella parte anteriore, mentre i passeggeri posteriori beneficiano di un aumento di 47 mm per le gambe e 17 mm per la testa. Per chi ha bisogno di ampio spazio di stivaggio, la GLC ha tutto ciò che serve. Il bagagliaio offre una generosa capacità di 570 litri e, quando i sedili posteriori sono abbassati, si espande fino a un impressionante volume di 1.740 litri. Inoltre, il frunk (bagagliaio anteriore) contribuisce con ulteriori 128 litri di capacità di carico e può essere aperto parzialmente elettricamente tramite controllo touch. Che ci si prepari per una gita fuori porta nel fine settimana o a una giornata di shopping, la nuova GLC soddisfa tutte le esigenze.</w:t>
      </w:r>
    </w:p>
    <w:p w14:paraId="2A87F044" w14:textId="77777777" w:rsidR="001A4D2C" w:rsidRPr="001A4D2C" w:rsidRDefault="001A4D2C" w:rsidP="001A4D2C">
      <w:pPr>
        <w:pStyle w:val="A06Quote"/>
        <w:jc w:val="left"/>
        <w:rPr>
          <w:rFonts w:asciiTheme="minorHAnsi" w:eastAsiaTheme="minorHAnsi" w:hAnsiTheme="minorHAnsi"/>
          <w:lang w:val="it-IT" w:eastAsia="en-US"/>
        </w:rPr>
      </w:pPr>
    </w:p>
    <w:p w14:paraId="2BA61DAD"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GLC 400 4MATIC con tecnologia EQ può trainare fino a 2,4 tonnellate (con freno), rendendola ideale per roulotte di grandi dimensioni, rimorchi per barche o cavalli. Il carico utile di 100 kg sul gancio di traino consente il trasporto di biciclette elettriche su un apposito supporto. I sistemi di assistenza alla guida, come la stabilizzazione del rimorchio ESP® e l'assistente alle manovre con rimorchio, rendono il traino un'esperienza sicura e senza stress. Perfetta per un weekend in campeggio o per trasportare una barca al lago, la GLC assicura un viaggio semplice e sicuro.</w:t>
      </w:r>
    </w:p>
    <w:p w14:paraId="1ECD2EB8" w14:textId="77777777" w:rsidR="001A4D2C" w:rsidRPr="001A4D2C" w:rsidRDefault="001A4D2C" w:rsidP="001A4D2C">
      <w:pPr>
        <w:pStyle w:val="A06Quote"/>
        <w:jc w:val="left"/>
        <w:rPr>
          <w:rFonts w:asciiTheme="minorHAnsi" w:eastAsiaTheme="minorHAnsi" w:hAnsiTheme="minorHAnsi"/>
          <w:lang w:val="it-IT" w:eastAsia="en-US"/>
        </w:rPr>
      </w:pPr>
    </w:p>
    <w:p w14:paraId="40861D83"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TERRAIN MODE e "cofano trasparente": per le avventure di tutti i giorni</w:t>
      </w:r>
    </w:p>
    <w:p w14:paraId="74270E2B"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GLC 400 4MATIC è dotata di TERRAIN MODE come programma di guida per strade di campagna o sterrate, regolando le caratteristiche della trazione, dello sterzo e dei freni. La funzione "cofano trasparente" consente una visione virtuale sotto la parte anteriore del veicolo combinando le immagini della telecamera anteriore e delle telecamere degli specchietti retrovisori esterni.</w:t>
      </w:r>
    </w:p>
    <w:p w14:paraId="195770D3" w14:textId="77777777" w:rsidR="001A4D2C" w:rsidRPr="001A4D2C" w:rsidRDefault="001A4D2C" w:rsidP="001A4D2C">
      <w:pPr>
        <w:pStyle w:val="A06Quote"/>
        <w:jc w:val="left"/>
        <w:rPr>
          <w:rFonts w:asciiTheme="minorHAnsi" w:eastAsiaTheme="minorHAnsi" w:hAnsiTheme="minorHAnsi"/>
          <w:lang w:val="it-IT" w:eastAsia="en-US"/>
        </w:rPr>
      </w:pPr>
    </w:p>
    <w:p w14:paraId="11D0FC1D" w14:textId="2F2CC187" w:rsidR="001A4D2C" w:rsidRPr="001A4D2C" w:rsidRDefault="001A4D2C" w:rsidP="001A4D2C">
      <w:pPr>
        <w:pStyle w:val="A06Quote"/>
        <w:jc w:val="left"/>
        <w:rPr>
          <w:rFonts w:asciiTheme="minorHAnsi" w:eastAsiaTheme="minorHAnsi" w:hAnsiTheme="minorHAnsi"/>
          <w:b/>
          <w:bCs/>
          <w:lang w:val="it-IT" w:eastAsia="en-US"/>
        </w:rPr>
      </w:pPr>
      <w:r>
        <w:rPr>
          <w:rFonts w:asciiTheme="minorHAnsi" w:eastAsiaTheme="minorHAnsi" w:hAnsiTheme="minorHAnsi"/>
          <w:b/>
          <w:bCs/>
          <w:lang w:val="it-IT" w:eastAsia="en-US"/>
        </w:rPr>
        <w:lastRenderedPageBreak/>
        <w:t>A</w:t>
      </w:r>
      <w:r w:rsidRPr="001A4D2C">
        <w:rPr>
          <w:rFonts w:asciiTheme="minorHAnsi" w:eastAsiaTheme="minorHAnsi" w:hAnsiTheme="minorHAnsi"/>
          <w:b/>
          <w:bCs/>
          <w:lang w:val="it-IT" w:eastAsia="en-US"/>
        </w:rPr>
        <w:t>mpia esperienza digitale con MBUX e le altre innovazioni tecnologiche</w:t>
      </w:r>
    </w:p>
    <w:p w14:paraId="19648C7A"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Perfezione high-tech: il nuovissimo MBUX HYPERSCREEN crea un'esperienza accogliente e coinvolgente</w:t>
      </w:r>
    </w:p>
    <w:p w14:paraId="416DD0AE"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 xml:space="preserve">Il nuovissimo MBUX HYPERSCREEN da 99,3 centimetri (39,1 pollici) è lo schermo più grande mai montato su una Mercedes-Benz fino ad oggi. La sua eccezionale nitidezza è dovuta all'alta risoluzione e all'innovativa tecnologia di retroilluminazione a matrice. In combinazione con i nuovi stili, questa tecnologia crea un senso unico di raffinatezza digitale e porta a un'esperienza di interni immersiva completamente nuova. </w:t>
      </w:r>
    </w:p>
    <w:p w14:paraId="2CEB6B12" w14:textId="77777777" w:rsidR="001A4D2C" w:rsidRPr="001A4D2C" w:rsidRDefault="001A4D2C" w:rsidP="001A4D2C">
      <w:pPr>
        <w:pStyle w:val="A06Quote"/>
        <w:jc w:val="left"/>
        <w:rPr>
          <w:rFonts w:asciiTheme="minorHAnsi" w:eastAsiaTheme="minorHAnsi" w:hAnsiTheme="minorHAnsi"/>
          <w:lang w:val="it-IT" w:eastAsia="en-US"/>
        </w:rPr>
      </w:pPr>
    </w:p>
    <w:p w14:paraId="5E774C6E"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Il nuovo MBUX HYPERSCREEN senza soluzione di continuità crea un'esperienza di guida e spaziale olistica. A ciò si aggiungono fino a 11 stili selezionabili come motivi di sfondo. L'uso del colore nel quadro strumenti (inclusi quadranti e indicatori), negli elementi di controllo e nell'illuminazione ambientale è coordinato con questi motivi emozionali. Gli straordinari stili ambientali offrono un'ampia gamma di opzioni, dal calmo all'intenso, dal freddo al caldo e dal tecnico all'emozionale. Il design sorprendente si distingue per l'eccezionale estetica e precisione, nonché per la navigazione utente intuitiva. Ciò consente agli utenti di creare un'atmosfera personale nel veicolo in cui il mondo fisico e quello digitale si fondono perfettamente grazie a MB.OS.</w:t>
      </w:r>
    </w:p>
    <w:p w14:paraId="21BC0F53" w14:textId="77777777" w:rsidR="001A4D2C" w:rsidRPr="001A4D2C" w:rsidRDefault="001A4D2C" w:rsidP="001A4D2C">
      <w:pPr>
        <w:pStyle w:val="A06Quote"/>
        <w:jc w:val="left"/>
        <w:rPr>
          <w:rFonts w:asciiTheme="minorHAnsi" w:eastAsiaTheme="minorHAnsi" w:hAnsiTheme="minorHAnsi"/>
          <w:lang w:val="it-IT" w:eastAsia="en-US"/>
        </w:rPr>
      </w:pPr>
    </w:p>
    <w:p w14:paraId="46A4A431"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Intelligenza artificiale: esperienze personalizzate e interazione intuitiva</w:t>
      </w:r>
    </w:p>
    <w:p w14:paraId="353BB8C1" w14:textId="5E0CF133"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nuova GLC utilizza la quarta generazione MBUX, che è il primo sistema di infotainment per auto al mondo a integrare l'intelligenza artificiale (AI) di Microsoft e Google. Apre un nuovo mondo di esperienze personalizzate e di interazione intuitiva tra uomo e veicolo. L'Assistente Virtuale MBUX utilizza il cosiddetto "Multi Agent Approach", integrando strumenti di intelligenza artificiale forniti da Microsoft e Google. Selezionando la fonte migliore per ogni attività, anche all'interno della stessa conversazione, utilizza le conoscenze combinate raccolte su Internet. Per il cliente, parlare con l'Assistente Virtuale MBUX è come chattare con un amico: può fornire risposte dettagliate e rispondere a domande di follow-up senza la necessità di ripetere il contesto. L'ampia offerta di infotainment per il passeggero anteriore comprende oltre 40 app, streaming video e accesso diretto a Disney+.</w:t>
      </w:r>
    </w:p>
    <w:p w14:paraId="4F2B8C7E" w14:textId="77777777" w:rsidR="001A4D2C" w:rsidRPr="001A4D2C" w:rsidRDefault="001A4D2C" w:rsidP="001A4D2C">
      <w:pPr>
        <w:pStyle w:val="A06Quote"/>
        <w:jc w:val="left"/>
        <w:rPr>
          <w:rFonts w:asciiTheme="minorHAnsi" w:eastAsiaTheme="minorHAnsi" w:hAnsiTheme="minorHAnsi"/>
          <w:lang w:val="it-IT" w:eastAsia="en-US"/>
        </w:rPr>
      </w:pPr>
    </w:p>
    <w:p w14:paraId="54B9A972"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 xml:space="preserve">Il cielo è il limite: illumina i tuoi viaggi notturni sotto un cielo stellato </w:t>
      </w:r>
    </w:p>
    <w:p w14:paraId="71A654ED"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Il tetto panoramico SKY CONTROL, realizzato in un unico pezzo di vetro stratificato isolante, crea un'atmosfera affascinante all'interno dell'abitacolo. Come optional, questa superficie vetrata di dimensioni impressionanti può passare da trasparente a opaca. La superficie è divisa in nove zone commutabili individualmente, permettendo ai clienti di scegliere quanta luce far entrare. Di notte, l'illuminazione ambientale (anch'essa opzionale) crea un effetto "wow" sorprendente: 162 stelle integrate nella superficie del vetro possono essere illuminate, creando un'esperienza magica.</w:t>
      </w:r>
    </w:p>
    <w:p w14:paraId="1514F220" w14:textId="77777777" w:rsidR="001A4D2C" w:rsidRPr="001A4D2C" w:rsidRDefault="001A4D2C" w:rsidP="001A4D2C">
      <w:pPr>
        <w:pStyle w:val="A06Quote"/>
        <w:jc w:val="left"/>
        <w:rPr>
          <w:rFonts w:asciiTheme="minorHAnsi" w:eastAsiaTheme="minorHAnsi" w:hAnsiTheme="minorHAnsi"/>
          <w:lang w:val="it-IT" w:eastAsia="en-US"/>
        </w:rPr>
      </w:pPr>
    </w:p>
    <w:p w14:paraId="5F996A00"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La nuova GLC ti saluta come un amico fidato</w:t>
      </w:r>
    </w:p>
    <w:p w14:paraId="1B845A91"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GLC accoglie e saluta il suo guidatore con elaborate animazioni luminose, orchestrate in ogni dettaglio. Queste animazioni coinvolgono la nuova iconica griglia frontale e i gruppi ottici posteriori, e sono accompagnate dal suono distintivo dello stile sonoro selezionato. All'interno, l'accoglienza emozionale prosegue con l'illuminazione ambientale e le animazioni di nuova concezione sull'innovativo MBUX HYPERSCREEN senza soluzione di continuità. Quando la GLC viene parcheggiata, si attiva una performance di "arrivederci" altrettanto suggestiva.</w:t>
      </w:r>
    </w:p>
    <w:p w14:paraId="3F933AFA" w14:textId="77777777" w:rsidR="001A4D2C" w:rsidRPr="001A4D2C" w:rsidRDefault="001A4D2C" w:rsidP="001A4D2C">
      <w:pPr>
        <w:pStyle w:val="A06Quote"/>
        <w:jc w:val="left"/>
        <w:rPr>
          <w:rFonts w:asciiTheme="minorHAnsi" w:eastAsiaTheme="minorHAnsi" w:hAnsiTheme="minorHAnsi"/>
          <w:lang w:val="it-IT" w:eastAsia="en-US"/>
        </w:rPr>
      </w:pPr>
    </w:p>
    <w:p w14:paraId="55A6AB5A" w14:textId="630930AE"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 xml:space="preserve">Il perfetto mix tra comfort sulle lunghe distanze e agilità sportiva </w:t>
      </w:r>
    </w:p>
    <w:p w14:paraId="76087CF3"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 xml:space="preserve">Addio all'ansia da autonomia: navigazione intelligente con prenotazione delle stazioni di ricarica </w:t>
      </w:r>
    </w:p>
    <w:p w14:paraId="3EAE6DA3" w14:textId="11A4102B"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 xml:space="preserve">Un punto di forza della nuova architettura elettrica è il sistema a 800 volt, che riduce significativamente il tempo di ricarica in combinazione con la nuova generazione di batterie. Questo si abbina a MB.CHARGE, una delle reti di ricarica più grandi al mondo, per offrire un'esperienza di ricarica connessa, veloce e conveniente. </w:t>
      </w:r>
    </w:p>
    <w:p w14:paraId="44B0EDB1" w14:textId="77777777" w:rsidR="001A4D2C" w:rsidRPr="001A4D2C" w:rsidRDefault="001A4D2C" w:rsidP="001A4D2C">
      <w:pPr>
        <w:pStyle w:val="A06Quote"/>
        <w:jc w:val="left"/>
        <w:rPr>
          <w:rFonts w:asciiTheme="minorHAnsi" w:eastAsiaTheme="minorHAnsi" w:hAnsiTheme="minorHAnsi"/>
          <w:lang w:val="it-IT" w:eastAsia="en-US"/>
        </w:rPr>
      </w:pPr>
    </w:p>
    <w:p w14:paraId="087790C8" w14:textId="04E649A6"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lastRenderedPageBreak/>
        <w:t>l sistema di navigazione Mercedes-Benz con Electric Intelligence pianifica sempre il percorso più veloce e confortevole, includendo le soste di ricarica presso stazioni compatibili e tenendo conto di fattori come la topografia, il tracciato stradale e le informazioni meteorologiche. Mercedes-Benz è costantemente impegnata nell'espansione della rete di ricarica attraverso iniziative proprie per la realizzazione di infrastrutture di ricarica pubbliche. Presso i charging park Mercedes-Benz i clienti possono prenotare in anticipo e in esclusiva i punti di ricarica tramite MB.CHARGE Public</w:t>
      </w:r>
      <w:r>
        <w:rPr>
          <w:rFonts w:asciiTheme="minorHAnsi" w:eastAsiaTheme="minorHAnsi" w:hAnsiTheme="minorHAnsi"/>
          <w:lang w:val="it-IT" w:eastAsia="en-US"/>
        </w:rPr>
        <w:t>. L</w:t>
      </w:r>
      <w:r w:rsidRPr="001A4D2C">
        <w:rPr>
          <w:rFonts w:asciiTheme="minorHAnsi" w:eastAsiaTheme="minorHAnsi" w:hAnsiTheme="minorHAnsi"/>
          <w:lang w:val="it-IT" w:eastAsia="en-US"/>
        </w:rPr>
        <w:t>a nuova GLC è in grado di ricaricare un'autonomia fino a 303 chilometri  in dieci minuti. L'innovativo sistema di batterie della GLC si basa su un'architettura modulare altamente integrata e comprende una batteria agli ioni di litio con un contenuto energetico utilizzabile di 94 kWh. Un cosiddetto convertitore CC è installato su base specifica per paese. Ciò consente la ricarica presso le stazioni di ricarica rapida a 400 volt.</w:t>
      </w:r>
    </w:p>
    <w:p w14:paraId="6DF9F948" w14:textId="77777777" w:rsidR="001A4D2C" w:rsidRPr="001A4D2C" w:rsidRDefault="001A4D2C" w:rsidP="001A4D2C">
      <w:pPr>
        <w:pStyle w:val="A06Quote"/>
        <w:jc w:val="left"/>
        <w:rPr>
          <w:rFonts w:asciiTheme="minorHAnsi" w:eastAsiaTheme="minorHAnsi" w:hAnsiTheme="minorHAnsi"/>
          <w:lang w:val="it-IT" w:eastAsia="en-US"/>
        </w:rPr>
      </w:pPr>
    </w:p>
    <w:p w14:paraId="29DD3AF1"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GLC elettrica è predisposta anche per la connessione alla rete elettrica. Quando è collegata a una stazione di ricarica CC bidirezionale compatibile, può immagazzinare energia solare e fungere da fornitore di energia per la casa (V2H) o per la rete elettrica (V2G).</w:t>
      </w:r>
    </w:p>
    <w:p w14:paraId="272AE5BA" w14:textId="77777777" w:rsidR="001A4D2C" w:rsidRPr="001A4D2C" w:rsidRDefault="001A4D2C" w:rsidP="001A4D2C">
      <w:pPr>
        <w:pStyle w:val="A06Quote"/>
        <w:jc w:val="left"/>
        <w:rPr>
          <w:rFonts w:asciiTheme="minorHAnsi" w:eastAsiaTheme="minorHAnsi" w:hAnsiTheme="minorHAnsi"/>
          <w:lang w:val="it-IT" w:eastAsia="en-US"/>
        </w:rPr>
      </w:pPr>
    </w:p>
    <w:p w14:paraId="33BBD08F"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 xml:space="preserve">Nuovo sistema frenante: sensibilità superiore del pedale del freno ed elevate prestazioni di recupero </w:t>
      </w:r>
    </w:p>
    <w:p w14:paraId="473CDC6F"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GLC è dotata di un nuovo sistema frenante One-Box che fornisce una sensazione al pedale del freno stabile e sicura, sia che la frenata avvenga tramite recupero di energia, sia tramite frenata ad attrito convenzionale. Per ogni processo di frenata, il sistema calcola il recupero massimo e l'uso minimo del freno ad attrito. Nella guida di tutti i giorni, il nuovissimo GLC genera elettricità durante la frenata in oltre il 99% dei casi. Le prestazioni di recupero arrivano fino a 300 kW e contribuiscono in modo significativo all'aumento dell'autonomia. I conducenti hanno a disposizione quattro livelli di recupero: D- (livello di recupero massimo), D (recupero standard), D+ (nessun recupero) e D Auto (recupero intelligente).</w:t>
      </w:r>
    </w:p>
    <w:p w14:paraId="04E16A0A" w14:textId="77777777" w:rsidR="001A4D2C" w:rsidRPr="001A4D2C" w:rsidRDefault="001A4D2C" w:rsidP="001A4D2C">
      <w:pPr>
        <w:pStyle w:val="A06Quote"/>
        <w:jc w:val="left"/>
        <w:rPr>
          <w:rFonts w:asciiTheme="minorHAnsi" w:eastAsiaTheme="minorHAnsi" w:hAnsiTheme="minorHAnsi"/>
          <w:lang w:val="it-IT" w:eastAsia="en-US"/>
        </w:rPr>
      </w:pPr>
    </w:p>
    <w:p w14:paraId="56ADC1B2"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Pompa di calore multi-source di serie: elevato comfort termico anche in inverno</w:t>
      </w:r>
    </w:p>
    <w:p w14:paraId="62ECAF1D"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GLC elettrica offre anche un comfort termico notevole in inverno. La pompa di calore multi-source di serie utilizza il calore di scarto dell'Electric Drive Unit, della batteria e dell'aria ambiente per riscaldare in modo efficiente l'abitacolo. Un condizionamento appropriato della batteria consente prestazioni di ricarica molto elevate.</w:t>
      </w:r>
    </w:p>
    <w:p w14:paraId="2D06E97E" w14:textId="77777777" w:rsidR="001A4D2C" w:rsidRPr="001A4D2C" w:rsidRDefault="001A4D2C" w:rsidP="001A4D2C">
      <w:pPr>
        <w:pStyle w:val="A06Quote"/>
        <w:jc w:val="left"/>
        <w:rPr>
          <w:rFonts w:asciiTheme="minorHAnsi" w:eastAsiaTheme="minorHAnsi" w:hAnsiTheme="minorHAnsi"/>
          <w:lang w:val="it-IT" w:eastAsia="en-US"/>
        </w:rPr>
      </w:pPr>
    </w:p>
    <w:p w14:paraId="7D384735"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Comfort di guida e agilità con la tecnologia della Classe S: sospensioni pneumatiche intelligenti e asse posteriore sterzante</w:t>
      </w:r>
    </w:p>
    <w:p w14:paraId="7310C48C"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Che si tratti di una rilassante gita fuori porta nel fine settimana, di un tratto veloce e lungo in autostrada o degli ultimi chilometri non asfaltati per raggiungere un campeggio o un rifugio sciistico, la nuova GLC offre l'equilibrio ottimale tra dinamica di guida e comfort di guida in tutte le situazioni. Grazie alla collaudata tecnologia delle sospensioni pneumatiche della Mercedes-Benz Classe S, urti e vibrazioni vengono quasi completamente assorbiti, garantendo una guida straordinariamente fluida. Il sistema di smorzamento regolabile all'infinito offre la perfetta combinazione di comfort sulle lunghe distanze e agilità sportiva. L'Agility &amp; Comfort Package include le sospensioni pneumatiche AIRMATIC combinate con l'asse posteriore sterzante, che consente un angolo di sterzata fino a 4,5 gradi in entrambe le direzioni. Questa tecnologia avanzata distingue chiaramente la GLC dagli altri veicoli della sua categoria.</w:t>
      </w:r>
    </w:p>
    <w:p w14:paraId="65511848" w14:textId="77777777" w:rsidR="001A4D2C" w:rsidRPr="001A4D2C" w:rsidRDefault="001A4D2C" w:rsidP="001A4D2C">
      <w:pPr>
        <w:pStyle w:val="A06Quote"/>
        <w:jc w:val="left"/>
        <w:rPr>
          <w:rFonts w:asciiTheme="minorHAnsi" w:eastAsiaTheme="minorHAnsi" w:hAnsiTheme="minorHAnsi"/>
          <w:lang w:val="it-IT" w:eastAsia="en-US"/>
        </w:rPr>
      </w:pPr>
    </w:p>
    <w:p w14:paraId="731D71DF"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Nuovi sedili di alta gamma e nuovo volante: ergonomia migliorata e ritorno dei popolari bilancieri e rulli</w:t>
      </w:r>
    </w:p>
    <w:p w14:paraId="4BA6718C"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I nuovi sedili del GLC offrono il massimo comfort, assicurando che guidatori e passeggeri arrivino riposati anche dopo molti chilometri. Tutti i sedili disponibili sono certificati con il sigillo tedesco AGR dell'"Aktion Gesunder Rücken" (Organizzazione per la salute della schiena). Il nuovo volante è progettato per essere ancora più ergonomico e intuitivo da usare. A grande richiesta e sulla base del feedback dei clienti, Mercedes Benz ha reintrodotto il concetto di controllo con bilanciere per il limitatore e il DISTRONIC, nonché il rullo per il controllo del volume. Le superfici degli interruttori capacitivi sono perfettamente integrate e offrono ausili tattili per un migliore orientamento.</w:t>
      </w:r>
    </w:p>
    <w:p w14:paraId="4B5ED350" w14:textId="77777777" w:rsidR="001A4D2C" w:rsidRPr="001A4D2C" w:rsidRDefault="001A4D2C" w:rsidP="001A4D2C">
      <w:pPr>
        <w:pStyle w:val="A06Quote"/>
        <w:jc w:val="left"/>
        <w:rPr>
          <w:rFonts w:asciiTheme="minorHAnsi" w:eastAsiaTheme="minorHAnsi" w:hAnsiTheme="minorHAnsi"/>
          <w:lang w:val="it-IT" w:eastAsia="en-US"/>
        </w:rPr>
      </w:pPr>
    </w:p>
    <w:p w14:paraId="0FDD7A88"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ENERGIZING COMFORT: la nuovissima GLC offre benessere in ogni viaggio</w:t>
      </w:r>
    </w:p>
    <w:p w14:paraId="3EB27E69"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Con i diversi programmi ENERGIZING COMFORT e le raccomandazioni individuali dell'ENERGIZING COACH, Mercedes-Benz offre un ampio programma di benessere per la GLC. I programmi ENERGIZING COMFORT di nuova concezione sono ora disponibili come app separata. Per la prima volta, è possibile disattivare i suoni ENERGIZING per godersi i programmi con musica o podcast personali. Le nuovissime animazioni e i suoni (3D e 4D) dell'MBUX HYPERSCREEN senza soluzione di continuità forniscono valore aggiunto ai programmi ENERGIZING COMFORT.</w:t>
      </w:r>
    </w:p>
    <w:p w14:paraId="60A8552A" w14:textId="77777777" w:rsidR="001A4D2C" w:rsidRPr="001A4D2C" w:rsidRDefault="001A4D2C" w:rsidP="001A4D2C">
      <w:pPr>
        <w:pStyle w:val="A06Quote"/>
        <w:jc w:val="left"/>
        <w:rPr>
          <w:rFonts w:asciiTheme="minorHAnsi" w:eastAsiaTheme="minorHAnsi" w:hAnsiTheme="minorHAnsi"/>
          <w:lang w:val="it-IT" w:eastAsia="en-US"/>
        </w:rPr>
      </w:pPr>
    </w:p>
    <w:p w14:paraId="34D80FFD"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Più luminoso e più efficiente: DIGITAL LIGHT con tecnologia micro-LED</w:t>
      </w:r>
    </w:p>
    <w:p w14:paraId="5FEA2DAE"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La nuova GLC è dotata della nuova generazione di DIGITAL LIGHT con tecnologia micro-LED. Il campo di illuminazione ad alta risoluzione è significativamente più grande di prima e consente una maggiore luminosità per gli abbaglianti e le proiezioni stradali. Allo stesso tempo, il consumo energetico del modulo di illuminazione è inferiore di circa il 50% rispetto al suo predecessore. L'abbagliante ULTRA RANGE non si limita più a illuminare rigidamente in avanti. Invece, è incorporato nella luce di svolta e ruota dinamicamente con essa. Grazie alle informazioni combinate della telecamera e ai dati della mappa, la luce di svolta reagisce in modo ancora più precisa all'andamento della strada.</w:t>
      </w:r>
    </w:p>
    <w:p w14:paraId="1B1F8E4F" w14:textId="77777777" w:rsidR="001A4D2C" w:rsidRPr="001A4D2C" w:rsidRDefault="001A4D2C" w:rsidP="001A4D2C">
      <w:pPr>
        <w:pStyle w:val="A06Quote"/>
        <w:jc w:val="left"/>
        <w:rPr>
          <w:rFonts w:asciiTheme="minorHAnsi" w:eastAsiaTheme="minorHAnsi" w:hAnsiTheme="minorHAnsi"/>
          <w:lang w:val="it-IT" w:eastAsia="en-US"/>
        </w:rPr>
      </w:pPr>
    </w:p>
    <w:p w14:paraId="24A32F76" w14:textId="77777777" w:rsidR="001A4D2C" w:rsidRPr="001A4D2C" w:rsidRDefault="001A4D2C" w:rsidP="001A4D2C">
      <w:pPr>
        <w:pStyle w:val="A06Quote"/>
        <w:jc w:val="left"/>
        <w:rPr>
          <w:rFonts w:asciiTheme="minorHAnsi" w:eastAsiaTheme="minorHAnsi" w:hAnsiTheme="minorHAnsi"/>
          <w:b/>
          <w:bCs/>
          <w:lang w:val="it-IT" w:eastAsia="en-US"/>
        </w:rPr>
      </w:pPr>
      <w:r w:rsidRPr="001A4D2C">
        <w:rPr>
          <w:rFonts w:asciiTheme="minorHAnsi" w:eastAsiaTheme="minorHAnsi" w:hAnsiTheme="minorHAnsi"/>
          <w:b/>
          <w:bCs/>
          <w:lang w:val="it-IT" w:eastAsia="en-US"/>
        </w:rPr>
        <w:t>MB. DRIVE: sistemi avanzati di assistenza alla guida</w:t>
      </w:r>
    </w:p>
    <w:p w14:paraId="236095A4" w14:textId="77777777" w:rsidR="001A4D2C" w:rsidRP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Ogni modello è dotato di un'ampia serie di sensori che utilizzano fino a dieci telecamere esterne, cinque sensori radar e dodici sensori a ultrasuoni per offrire un'assistenza alla guida di prima classe. Sono tutti collegati a un'unità di controllo ad alte prestazioni che funziona con MB.OS e agisce come il cervello della GLC. Pienamente concentrato, costantemente vigile e velocissimo, MB.DRIVE utilizza l'intelligenza artificiale per elaborare grandi quantità di dati grezzi provenienti dai sensori per comprendere la situazione del traffico. Con MBUX Surround Navigation, il conducente sa sempre cosa ha rilevato l'auto dall'ambiente circostante, aumentando la fiducia nel sistema</w:t>
      </w:r>
    </w:p>
    <w:p w14:paraId="4B596AE7" w14:textId="77777777" w:rsidR="001A4D2C" w:rsidRPr="001A4D2C" w:rsidRDefault="001A4D2C" w:rsidP="001A4D2C">
      <w:pPr>
        <w:pStyle w:val="A06Quote"/>
        <w:jc w:val="left"/>
        <w:rPr>
          <w:rFonts w:asciiTheme="minorHAnsi" w:eastAsiaTheme="minorHAnsi" w:hAnsiTheme="minorHAnsi"/>
          <w:lang w:val="it-IT" w:eastAsia="en-US"/>
        </w:rPr>
      </w:pPr>
    </w:p>
    <w:p w14:paraId="5B2E725C" w14:textId="4066EDD8" w:rsidR="001A4D2C" w:rsidRDefault="001A4D2C" w:rsidP="001A4D2C">
      <w:pPr>
        <w:pStyle w:val="A06Quote"/>
        <w:jc w:val="left"/>
        <w:rPr>
          <w:rFonts w:asciiTheme="minorHAnsi" w:eastAsiaTheme="minorHAnsi" w:hAnsiTheme="minorHAnsi"/>
          <w:lang w:val="it-IT" w:eastAsia="en-US"/>
        </w:rPr>
      </w:pPr>
      <w:r w:rsidRPr="001A4D2C">
        <w:rPr>
          <w:rFonts w:asciiTheme="minorHAnsi" w:eastAsiaTheme="minorHAnsi" w:hAnsiTheme="minorHAnsi"/>
          <w:lang w:val="it-IT" w:eastAsia="en-US"/>
        </w:rPr>
        <w:t>A seconda del pacchetto, MB.DRIVE assiste il conducente con sterzata, frenata e accelerazione cooperative. Si connette anche al mondo esterno tramite un'antenna integrata sul tetto, consentendo ai clienti di aggiornare i sistemi con nuove funzioni dopo l'acquisto, comodamente tramite l'app Mercedes Benz e senza la necessità di fermarsi dal concessionario. Tutti i sistemi di sicurezza attiva sono di serie e possono essere aggiornati anche dopo l'acquisto, poiché possono aiutare a evitare o mitigare più incidenti di prima.</w:t>
      </w:r>
    </w:p>
    <w:p w14:paraId="26BA4007" w14:textId="77777777" w:rsidR="004F48A4" w:rsidRDefault="004F48A4" w:rsidP="004F48A4">
      <w:pPr>
        <w:pStyle w:val="A06Quote"/>
        <w:jc w:val="left"/>
        <w:rPr>
          <w:rFonts w:asciiTheme="minorHAnsi" w:eastAsiaTheme="minorHAnsi" w:hAnsiTheme="minorHAnsi"/>
          <w:lang w:val="it-IT" w:eastAsia="en-US"/>
        </w:rPr>
      </w:pPr>
    </w:p>
    <w:p w14:paraId="0ED6F9C1" w14:textId="672033D9" w:rsidR="004F48A4" w:rsidRPr="004F48A4" w:rsidRDefault="004F48A4" w:rsidP="001A4D2C">
      <w:pPr>
        <w:pStyle w:val="A06Quote"/>
        <w:jc w:val="left"/>
        <w:rPr>
          <w:rFonts w:asciiTheme="minorHAnsi" w:eastAsiaTheme="minorHAnsi" w:hAnsiTheme="minorHAnsi"/>
          <w:lang w:val="it-IT" w:eastAsia="en-US"/>
        </w:rPr>
      </w:pPr>
    </w:p>
    <w:p w14:paraId="2EC4F3B0" w14:textId="5C9D6ADC" w:rsidR="003161CC" w:rsidRPr="00B05ED0" w:rsidRDefault="003161CC" w:rsidP="00FB3C86">
      <w:pPr>
        <w:pStyle w:val="D05Boilerplate"/>
        <w:rPr>
          <w:lang w:val="it-IT"/>
        </w:rPr>
      </w:pPr>
    </w:p>
    <w:sectPr w:rsidR="003161CC" w:rsidRPr="00B05ED0"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64F76" w14:textId="77777777" w:rsidR="00B233D9" w:rsidRPr="00E675DA" w:rsidRDefault="00B233D9" w:rsidP="00764B8C">
      <w:r w:rsidRPr="00E675DA">
        <w:separator/>
      </w:r>
    </w:p>
    <w:p w14:paraId="225330C5" w14:textId="77777777" w:rsidR="00B233D9" w:rsidRDefault="00B233D9"/>
  </w:endnote>
  <w:endnote w:type="continuationSeparator" w:id="0">
    <w:p w14:paraId="6D25AAF3" w14:textId="77777777" w:rsidR="00B233D9" w:rsidRPr="00E675DA" w:rsidRDefault="00B233D9" w:rsidP="00764B8C">
      <w:r w:rsidRPr="00E675DA">
        <w:continuationSeparator/>
      </w:r>
    </w:p>
    <w:p w14:paraId="591C109B" w14:textId="77777777" w:rsidR="00B233D9" w:rsidRDefault="00B23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2C4F" w14:textId="77777777"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5438AAAA" w14:textId="77777777" w:rsidR="00EC1864" w:rsidRDefault="00EC18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7D078" w14:textId="77777777" w:rsidR="00B233D9" w:rsidRDefault="00B233D9" w:rsidP="002724F8">
      <w:pPr>
        <w:spacing w:line="170" w:lineRule="exact"/>
      </w:pPr>
      <w:r w:rsidRPr="00F46A21">
        <w:rPr>
          <w:sz w:val="10"/>
          <w:szCs w:val="10"/>
        </w:rPr>
        <w:separator/>
      </w:r>
    </w:p>
  </w:footnote>
  <w:footnote w:type="continuationSeparator" w:id="0">
    <w:p w14:paraId="71D2DA72" w14:textId="77777777" w:rsidR="00B233D9" w:rsidRPr="00E675DA" w:rsidRDefault="00B233D9" w:rsidP="00764B8C">
      <w:r w:rsidRPr="00E675DA">
        <w:continuationSeparator/>
      </w:r>
    </w:p>
    <w:p w14:paraId="41133A0E" w14:textId="77777777" w:rsidR="00B233D9" w:rsidRDefault="00B233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8FF5"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0311DD4B" wp14:editId="5F63293C">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7A31DC54" wp14:editId="65DE8B2F">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543468"/>
    <w:multiLevelType w:val="hybridMultilevel"/>
    <w:tmpl w:val="6B3411B2"/>
    <w:lvl w:ilvl="0" w:tplc="229056E0">
      <w:start w:val="1"/>
      <w:numFmt w:val="bullet"/>
      <w:lvlText w:val="•"/>
      <w:lvlJc w:val="left"/>
      <w:pPr>
        <w:tabs>
          <w:tab w:val="num" w:pos="720"/>
        </w:tabs>
        <w:ind w:left="720" w:hanging="360"/>
      </w:pPr>
      <w:rPr>
        <w:rFonts w:ascii="Arial" w:hAnsi="Arial" w:hint="default"/>
      </w:rPr>
    </w:lvl>
    <w:lvl w:ilvl="1" w:tplc="341EB49A" w:tentative="1">
      <w:start w:val="1"/>
      <w:numFmt w:val="bullet"/>
      <w:lvlText w:val="•"/>
      <w:lvlJc w:val="left"/>
      <w:pPr>
        <w:tabs>
          <w:tab w:val="num" w:pos="1440"/>
        </w:tabs>
        <w:ind w:left="1440" w:hanging="360"/>
      </w:pPr>
      <w:rPr>
        <w:rFonts w:ascii="Arial" w:hAnsi="Arial" w:hint="default"/>
      </w:rPr>
    </w:lvl>
    <w:lvl w:ilvl="2" w:tplc="1B5ACBA2" w:tentative="1">
      <w:start w:val="1"/>
      <w:numFmt w:val="bullet"/>
      <w:lvlText w:val="•"/>
      <w:lvlJc w:val="left"/>
      <w:pPr>
        <w:tabs>
          <w:tab w:val="num" w:pos="2160"/>
        </w:tabs>
        <w:ind w:left="2160" w:hanging="360"/>
      </w:pPr>
      <w:rPr>
        <w:rFonts w:ascii="Arial" w:hAnsi="Arial" w:hint="default"/>
      </w:rPr>
    </w:lvl>
    <w:lvl w:ilvl="3" w:tplc="8304BD6E" w:tentative="1">
      <w:start w:val="1"/>
      <w:numFmt w:val="bullet"/>
      <w:lvlText w:val="•"/>
      <w:lvlJc w:val="left"/>
      <w:pPr>
        <w:tabs>
          <w:tab w:val="num" w:pos="2880"/>
        </w:tabs>
        <w:ind w:left="2880" w:hanging="360"/>
      </w:pPr>
      <w:rPr>
        <w:rFonts w:ascii="Arial" w:hAnsi="Arial" w:hint="default"/>
      </w:rPr>
    </w:lvl>
    <w:lvl w:ilvl="4" w:tplc="B1C2D65E" w:tentative="1">
      <w:start w:val="1"/>
      <w:numFmt w:val="bullet"/>
      <w:lvlText w:val="•"/>
      <w:lvlJc w:val="left"/>
      <w:pPr>
        <w:tabs>
          <w:tab w:val="num" w:pos="3600"/>
        </w:tabs>
        <w:ind w:left="3600" w:hanging="360"/>
      </w:pPr>
      <w:rPr>
        <w:rFonts w:ascii="Arial" w:hAnsi="Arial" w:hint="default"/>
      </w:rPr>
    </w:lvl>
    <w:lvl w:ilvl="5" w:tplc="899EFA76" w:tentative="1">
      <w:start w:val="1"/>
      <w:numFmt w:val="bullet"/>
      <w:lvlText w:val="•"/>
      <w:lvlJc w:val="left"/>
      <w:pPr>
        <w:tabs>
          <w:tab w:val="num" w:pos="4320"/>
        </w:tabs>
        <w:ind w:left="4320" w:hanging="360"/>
      </w:pPr>
      <w:rPr>
        <w:rFonts w:ascii="Arial" w:hAnsi="Arial" w:hint="default"/>
      </w:rPr>
    </w:lvl>
    <w:lvl w:ilvl="6" w:tplc="29809F7C" w:tentative="1">
      <w:start w:val="1"/>
      <w:numFmt w:val="bullet"/>
      <w:lvlText w:val="•"/>
      <w:lvlJc w:val="left"/>
      <w:pPr>
        <w:tabs>
          <w:tab w:val="num" w:pos="5040"/>
        </w:tabs>
        <w:ind w:left="5040" w:hanging="360"/>
      </w:pPr>
      <w:rPr>
        <w:rFonts w:ascii="Arial" w:hAnsi="Arial" w:hint="default"/>
      </w:rPr>
    </w:lvl>
    <w:lvl w:ilvl="7" w:tplc="C5003B20" w:tentative="1">
      <w:start w:val="1"/>
      <w:numFmt w:val="bullet"/>
      <w:lvlText w:val="•"/>
      <w:lvlJc w:val="left"/>
      <w:pPr>
        <w:tabs>
          <w:tab w:val="num" w:pos="5760"/>
        </w:tabs>
        <w:ind w:left="5760" w:hanging="360"/>
      </w:pPr>
      <w:rPr>
        <w:rFonts w:ascii="Arial" w:hAnsi="Arial" w:hint="default"/>
      </w:rPr>
    </w:lvl>
    <w:lvl w:ilvl="8" w:tplc="908A789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89B4993"/>
    <w:multiLevelType w:val="hybridMultilevel"/>
    <w:tmpl w:val="ABCADC40"/>
    <w:lvl w:ilvl="0" w:tplc="41862102">
      <w:start w:val="1"/>
      <w:numFmt w:val="bullet"/>
      <w:lvlText w:val="•"/>
      <w:lvlJc w:val="left"/>
      <w:pPr>
        <w:tabs>
          <w:tab w:val="num" w:pos="720"/>
        </w:tabs>
        <w:ind w:left="720" w:hanging="360"/>
      </w:pPr>
      <w:rPr>
        <w:rFonts w:ascii="Arial" w:hAnsi="Arial" w:hint="default"/>
      </w:rPr>
    </w:lvl>
    <w:lvl w:ilvl="1" w:tplc="CACED7A2" w:tentative="1">
      <w:start w:val="1"/>
      <w:numFmt w:val="bullet"/>
      <w:lvlText w:val="•"/>
      <w:lvlJc w:val="left"/>
      <w:pPr>
        <w:tabs>
          <w:tab w:val="num" w:pos="1440"/>
        </w:tabs>
        <w:ind w:left="1440" w:hanging="360"/>
      </w:pPr>
      <w:rPr>
        <w:rFonts w:ascii="Arial" w:hAnsi="Arial" w:hint="default"/>
      </w:rPr>
    </w:lvl>
    <w:lvl w:ilvl="2" w:tplc="DFB833D8" w:tentative="1">
      <w:start w:val="1"/>
      <w:numFmt w:val="bullet"/>
      <w:lvlText w:val="•"/>
      <w:lvlJc w:val="left"/>
      <w:pPr>
        <w:tabs>
          <w:tab w:val="num" w:pos="2160"/>
        </w:tabs>
        <w:ind w:left="2160" w:hanging="360"/>
      </w:pPr>
      <w:rPr>
        <w:rFonts w:ascii="Arial" w:hAnsi="Arial" w:hint="default"/>
      </w:rPr>
    </w:lvl>
    <w:lvl w:ilvl="3" w:tplc="613EE698" w:tentative="1">
      <w:start w:val="1"/>
      <w:numFmt w:val="bullet"/>
      <w:lvlText w:val="•"/>
      <w:lvlJc w:val="left"/>
      <w:pPr>
        <w:tabs>
          <w:tab w:val="num" w:pos="2880"/>
        </w:tabs>
        <w:ind w:left="2880" w:hanging="360"/>
      </w:pPr>
      <w:rPr>
        <w:rFonts w:ascii="Arial" w:hAnsi="Arial" w:hint="default"/>
      </w:rPr>
    </w:lvl>
    <w:lvl w:ilvl="4" w:tplc="EC5C034A" w:tentative="1">
      <w:start w:val="1"/>
      <w:numFmt w:val="bullet"/>
      <w:lvlText w:val="•"/>
      <w:lvlJc w:val="left"/>
      <w:pPr>
        <w:tabs>
          <w:tab w:val="num" w:pos="3600"/>
        </w:tabs>
        <w:ind w:left="3600" w:hanging="360"/>
      </w:pPr>
      <w:rPr>
        <w:rFonts w:ascii="Arial" w:hAnsi="Arial" w:hint="default"/>
      </w:rPr>
    </w:lvl>
    <w:lvl w:ilvl="5" w:tplc="7054AA10" w:tentative="1">
      <w:start w:val="1"/>
      <w:numFmt w:val="bullet"/>
      <w:lvlText w:val="•"/>
      <w:lvlJc w:val="left"/>
      <w:pPr>
        <w:tabs>
          <w:tab w:val="num" w:pos="4320"/>
        </w:tabs>
        <w:ind w:left="4320" w:hanging="360"/>
      </w:pPr>
      <w:rPr>
        <w:rFonts w:ascii="Arial" w:hAnsi="Arial" w:hint="default"/>
      </w:rPr>
    </w:lvl>
    <w:lvl w:ilvl="6" w:tplc="BF2CB5CC" w:tentative="1">
      <w:start w:val="1"/>
      <w:numFmt w:val="bullet"/>
      <w:lvlText w:val="•"/>
      <w:lvlJc w:val="left"/>
      <w:pPr>
        <w:tabs>
          <w:tab w:val="num" w:pos="5040"/>
        </w:tabs>
        <w:ind w:left="5040" w:hanging="360"/>
      </w:pPr>
      <w:rPr>
        <w:rFonts w:ascii="Arial" w:hAnsi="Arial" w:hint="default"/>
      </w:rPr>
    </w:lvl>
    <w:lvl w:ilvl="7" w:tplc="DC9289C8" w:tentative="1">
      <w:start w:val="1"/>
      <w:numFmt w:val="bullet"/>
      <w:lvlText w:val="•"/>
      <w:lvlJc w:val="left"/>
      <w:pPr>
        <w:tabs>
          <w:tab w:val="num" w:pos="5760"/>
        </w:tabs>
        <w:ind w:left="5760" w:hanging="360"/>
      </w:pPr>
      <w:rPr>
        <w:rFonts w:ascii="Arial" w:hAnsi="Arial" w:hint="default"/>
      </w:rPr>
    </w:lvl>
    <w:lvl w:ilvl="8" w:tplc="5A7A69E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78D970C8"/>
    <w:multiLevelType w:val="hybridMultilevel"/>
    <w:tmpl w:val="FC780FBA"/>
    <w:lvl w:ilvl="0" w:tplc="A5867654">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5"/>
  </w:num>
  <w:num w:numId="12" w16cid:durableId="423838343">
    <w:abstractNumId w:val="10"/>
  </w:num>
  <w:num w:numId="13" w16cid:durableId="1293629408">
    <w:abstractNumId w:val="16"/>
  </w:num>
  <w:num w:numId="14" w16cid:durableId="1237932400">
    <w:abstractNumId w:val="18"/>
  </w:num>
  <w:num w:numId="15" w16cid:durableId="1072124215">
    <w:abstractNumId w:val="20"/>
  </w:num>
  <w:num w:numId="16" w16cid:durableId="1743990120">
    <w:abstractNumId w:val="17"/>
  </w:num>
  <w:num w:numId="17" w16cid:durableId="1086612032">
    <w:abstractNumId w:val="11"/>
  </w:num>
  <w:num w:numId="18" w16cid:durableId="366371384">
    <w:abstractNumId w:val="12"/>
  </w:num>
  <w:num w:numId="19" w16cid:durableId="1596328202">
    <w:abstractNumId w:val="13"/>
  </w:num>
  <w:num w:numId="20" w16cid:durableId="1563370576">
    <w:abstractNumId w:val="14"/>
  </w:num>
  <w:num w:numId="21" w16cid:durableId="16491707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BE"/>
    <w:rsid w:val="00000C4C"/>
    <w:rsid w:val="00002455"/>
    <w:rsid w:val="00002924"/>
    <w:rsid w:val="00002A81"/>
    <w:rsid w:val="000035F3"/>
    <w:rsid w:val="000049B1"/>
    <w:rsid w:val="000074CE"/>
    <w:rsid w:val="00010949"/>
    <w:rsid w:val="00011E70"/>
    <w:rsid w:val="0001257B"/>
    <w:rsid w:val="00013835"/>
    <w:rsid w:val="000140ED"/>
    <w:rsid w:val="00014580"/>
    <w:rsid w:val="0002077F"/>
    <w:rsid w:val="00021E38"/>
    <w:rsid w:val="0002523C"/>
    <w:rsid w:val="00025CA1"/>
    <w:rsid w:val="0002661E"/>
    <w:rsid w:val="000333CE"/>
    <w:rsid w:val="00033CCA"/>
    <w:rsid w:val="0003739E"/>
    <w:rsid w:val="00037B41"/>
    <w:rsid w:val="00044BAA"/>
    <w:rsid w:val="00044F7C"/>
    <w:rsid w:val="00045A88"/>
    <w:rsid w:val="00046F0A"/>
    <w:rsid w:val="000509C6"/>
    <w:rsid w:val="00052243"/>
    <w:rsid w:val="00056CD0"/>
    <w:rsid w:val="00060985"/>
    <w:rsid w:val="000612FC"/>
    <w:rsid w:val="00062AA8"/>
    <w:rsid w:val="000639BC"/>
    <w:rsid w:val="000648CA"/>
    <w:rsid w:val="000666F9"/>
    <w:rsid w:val="00066A0F"/>
    <w:rsid w:val="00070280"/>
    <w:rsid w:val="00073D3F"/>
    <w:rsid w:val="0007651D"/>
    <w:rsid w:val="00081305"/>
    <w:rsid w:val="00084223"/>
    <w:rsid w:val="000849A9"/>
    <w:rsid w:val="00084AE6"/>
    <w:rsid w:val="00084BE9"/>
    <w:rsid w:val="00086C76"/>
    <w:rsid w:val="00090E05"/>
    <w:rsid w:val="00092D86"/>
    <w:rsid w:val="000973D6"/>
    <w:rsid w:val="000A50A1"/>
    <w:rsid w:val="000A6302"/>
    <w:rsid w:val="000B0054"/>
    <w:rsid w:val="000B2BF4"/>
    <w:rsid w:val="000C2C40"/>
    <w:rsid w:val="000C30C7"/>
    <w:rsid w:val="000C6A17"/>
    <w:rsid w:val="000C705D"/>
    <w:rsid w:val="000C79D9"/>
    <w:rsid w:val="000D1EDA"/>
    <w:rsid w:val="000D4868"/>
    <w:rsid w:val="000D48EC"/>
    <w:rsid w:val="000D5F30"/>
    <w:rsid w:val="000E0938"/>
    <w:rsid w:val="000E139C"/>
    <w:rsid w:val="000E2F84"/>
    <w:rsid w:val="000E368C"/>
    <w:rsid w:val="000E6116"/>
    <w:rsid w:val="000F076B"/>
    <w:rsid w:val="000F2712"/>
    <w:rsid w:val="000F3696"/>
    <w:rsid w:val="000F3AA9"/>
    <w:rsid w:val="000F5A64"/>
    <w:rsid w:val="000F7AE0"/>
    <w:rsid w:val="001028C6"/>
    <w:rsid w:val="00104E0F"/>
    <w:rsid w:val="0010646B"/>
    <w:rsid w:val="00106A41"/>
    <w:rsid w:val="0010757F"/>
    <w:rsid w:val="00107F4F"/>
    <w:rsid w:val="00111F9F"/>
    <w:rsid w:val="0011302D"/>
    <w:rsid w:val="001166BE"/>
    <w:rsid w:val="00117941"/>
    <w:rsid w:val="001214B4"/>
    <w:rsid w:val="00122859"/>
    <w:rsid w:val="00122D49"/>
    <w:rsid w:val="00123A7C"/>
    <w:rsid w:val="0012549C"/>
    <w:rsid w:val="00125D57"/>
    <w:rsid w:val="001314A1"/>
    <w:rsid w:val="00131A63"/>
    <w:rsid w:val="00141213"/>
    <w:rsid w:val="0015135E"/>
    <w:rsid w:val="00152A03"/>
    <w:rsid w:val="00153588"/>
    <w:rsid w:val="00153F19"/>
    <w:rsid w:val="001545A7"/>
    <w:rsid w:val="00154F96"/>
    <w:rsid w:val="001568A1"/>
    <w:rsid w:val="0015701D"/>
    <w:rsid w:val="00160A4A"/>
    <w:rsid w:val="001625C8"/>
    <w:rsid w:val="0016279C"/>
    <w:rsid w:val="0016553E"/>
    <w:rsid w:val="00170359"/>
    <w:rsid w:val="00174C92"/>
    <w:rsid w:val="001756AB"/>
    <w:rsid w:val="0017699C"/>
    <w:rsid w:val="00181283"/>
    <w:rsid w:val="00184BE8"/>
    <w:rsid w:val="00184C24"/>
    <w:rsid w:val="001850C2"/>
    <w:rsid w:val="00185B2E"/>
    <w:rsid w:val="00186D82"/>
    <w:rsid w:val="00187794"/>
    <w:rsid w:val="00187903"/>
    <w:rsid w:val="00187A9D"/>
    <w:rsid w:val="00190106"/>
    <w:rsid w:val="00191B43"/>
    <w:rsid w:val="00191D6B"/>
    <w:rsid w:val="00193003"/>
    <w:rsid w:val="0019715A"/>
    <w:rsid w:val="001973AB"/>
    <w:rsid w:val="00197D3D"/>
    <w:rsid w:val="001A37C7"/>
    <w:rsid w:val="001A3EDE"/>
    <w:rsid w:val="001A43D7"/>
    <w:rsid w:val="001A4D2C"/>
    <w:rsid w:val="001A59E4"/>
    <w:rsid w:val="001B4781"/>
    <w:rsid w:val="001B5A88"/>
    <w:rsid w:val="001B623A"/>
    <w:rsid w:val="001B6F3E"/>
    <w:rsid w:val="001B6FAF"/>
    <w:rsid w:val="001B7945"/>
    <w:rsid w:val="001C1DA5"/>
    <w:rsid w:val="001C2A93"/>
    <w:rsid w:val="001C39E9"/>
    <w:rsid w:val="001C74DB"/>
    <w:rsid w:val="001C77C1"/>
    <w:rsid w:val="001D09D8"/>
    <w:rsid w:val="001D259B"/>
    <w:rsid w:val="001D2EC1"/>
    <w:rsid w:val="001D6C8A"/>
    <w:rsid w:val="001E011E"/>
    <w:rsid w:val="001E061A"/>
    <w:rsid w:val="001E37E4"/>
    <w:rsid w:val="001E4213"/>
    <w:rsid w:val="001E5313"/>
    <w:rsid w:val="001F0A78"/>
    <w:rsid w:val="001F3272"/>
    <w:rsid w:val="001F4083"/>
    <w:rsid w:val="001F5241"/>
    <w:rsid w:val="001F732C"/>
    <w:rsid w:val="00201DB0"/>
    <w:rsid w:val="00203388"/>
    <w:rsid w:val="0020411A"/>
    <w:rsid w:val="0020680B"/>
    <w:rsid w:val="0020712A"/>
    <w:rsid w:val="00214936"/>
    <w:rsid w:val="00216079"/>
    <w:rsid w:val="0022182A"/>
    <w:rsid w:val="00226CBC"/>
    <w:rsid w:val="00230D64"/>
    <w:rsid w:val="00232705"/>
    <w:rsid w:val="002348CF"/>
    <w:rsid w:val="00235B71"/>
    <w:rsid w:val="00240590"/>
    <w:rsid w:val="002432DF"/>
    <w:rsid w:val="0024567E"/>
    <w:rsid w:val="00246F69"/>
    <w:rsid w:val="00251B64"/>
    <w:rsid w:val="00252207"/>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80C66"/>
    <w:rsid w:val="002842CD"/>
    <w:rsid w:val="0028509A"/>
    <w:rsid w:val="0029236B"/>
    <w:rsid w:val="0029326C"/>
    <w:rsid w:val="00294B0D"/>
    <w:rsid w:val="002960B5"/>
    <w:rsid w:val="002A5EC6"/>
    <w:rsid w:val="002A628D"/>
    <w:rsid w:val="002B27E5"/>
    <w:rsid w:val="002B2ADC"/>
    <w:rsid w:val="002B3A8B"/>
    <w:rsid w:val="002B50DD"/>
    <w:rsid w:val="002B536C"/>
    <w:rsid w:val="002B647A"/>
    <w:rsid w:val="002C39C7"/>
    <w:rsid w:val="002D0630"/>
    <w:rsid w:val="002D21C8"/>
    <w:rsid w:val="002D2341"/>
    <w:rsid w:val="002D256C"/>
    <w:rsid w:val="002D3D23"/>
    <w:rsid w:val="002D7FB2"/>
    <w:rsid w:val="002E2080"/>
    <w:rsid w:val="002E7B9B"/>
    <w:rsid w:val="002F0252"/>
    <w:rsid w:val="002F3FEF"/>
    <w:rsid w:val="002F7BB2"/>
    <w:rsid w:val="00300181"/>
    <w:rsid w:val="0030635E"/>
    <w:rsid w:val="003064B1"/>
    <w:rsid w:val="003069D4"/>
    <w:rsid w:val="00311EE1"/>
    <w:rsid w:val="003144C7"/>
    <w:rsid w:val="00314CF8"/>
    <w:rsid w:val="003161CC"/>
    <w:rsid w:val="00316C47"/>
    <w:rsid w:val="00317376"/>
    <w:rsid w:val="00317769"/>
    <w:rsid w:val="00324C6D"/>
    <w:rsid w:val="0033099A"/>
    <w:rsid w:val="00331EB3"/>
    <w:rsid w:val="00332C72"/>
    <w:rsid w:val="003355C6"/>
    <w:rsid w:val="0033780C"/>
    <w:rsid w:val="00342034"/>
    <w:rsid w:val="00342F08"/>
    <w:rsid w:val="003478CD"/>
    <w:rsid w:val="00351301"/>
    <w:rsid w:val="00353ABF"/>
    <w:rsid w:val="00355E21"/>
    <w:rsid w:val="00357746"/>
    <w:rsid w:val="00360545"/>
    <w:rsid w:val="00361BFC"/>
    <w:rsid w:val="00365832"/>
    <w:rsid w:val="00365E7A"/>
    <w:rsid w:val="003662D9"/>
    <w:rsid w:val="0036672E"/>
    <w:rsid w:val="00370B20"/>
    <w:rsid w:val="003721C5"/>
    <w:rsid w:val="003728FC"/>
    <w:rsid w:val="00374CCB"/>
    <w:rsid w:val="003753CD"/>
    <w:rsid w:val="00382D93"/>
    <w:rsid w:val="00383033"/>
    <w:rsid w:val="00383BBA"/>
    <w:rsid w:val="00383CD5"/>
    <w:rsid w:val="00384ABC"/>
    <w:rsid w:val="0038797C"/>
    <w:rsid w:val="00390911"/>
    <w:rsid w:val="00391CCB"/>
    <w:rsid w:val="00394ADB"/>
    <w:rsid w:val="003967EA"/>
    <w:rsid w:val="003968AF"/>
    <w:rsid w:val="003A0038"/>
    <w:rsid w:val="003A0B70"/>
    <w:rsid w:val="003A2269"/>
    <w:rsid w:val="003A2CEB"/>
    <w:rsid w:val="003A313D"/>
    <w:rsid w:val="003A50A8"/>
    <w:rsid w:val="003A783E"/>
    <w:rsid w:val="003B12CF"/>
    <w:rsid w:val="003B45D3"/>
    <w:rsid w:val="003B4FEB"/>
    <w:rsid w:val="003B5A16"/>
    <w:rsid w:val="003B5C4C"/>
    <w:rsid w:val="003B7A24"/>
    <w:rsid w:val="003C31E9"/>
    <w:rsid w:val="003C69A3"/>
    <w:rsid w:val="003D07BA"/>
    <w:rsid w:val="003D1AC2"/>
    <w:rsid w:val="003D6A50"/>
    <w:rsid w:val="003D7575"/>
    <w:rsid w:val="003E14AD"/>
    <w:rsid w:val="003E17A7"/>
    <w:rsid w:val="003E21B4"/>
    <w:rsid w:val="003F220A"/>
    <w:rsid w:val="003F2786"/>
    <w:rsid w:val="003F33E4"/>
    <w:rsid w:val="00402DAA"/>
    <w:rsid w:val="00405B41"/>
    <w:rsid w:val="00405C90"/>
    <w:rsid w:val="00405C9C"/>
    <w:rsid w:val="0040619F"/>
    <w:rsid w:val="00406312"/>
    <w:rsid w:val="00406C99"/>
    <w:rsid w:val="004078C9"/>
    <w:rsid w:val="0041163E"/>
    <w:rsid w:val="0041592A"/>
    <w:rsid w:val="00417938"/>
    <w:rsid w:val="0042066D"/>
    <w:rsid w:val="0042210D"/>
    <w:rsid w:val="00423F78"/>
    <w:rsid w:val="00425284"/>
    <w:rsid w:val="00427BF4"/>
    <w:rsid w:val="004361F4"/>
    <w:rsid w:val="00437102"/>
    <w:rsid w:val="004377ED"/>
    <w:rsid w:val="00437FE0"/>
    <w:rsid w:val="0044160E"/>
    <w:rsid w:val="004448E7"/>
    <w:rsid w:val="00445941"/>
    <w:rsid w:val="00446715"/>
    <w:rsid w:val="00447057"/>
    <w:rsid w:val="00452239"/>
    <w:rsid w:val="0045295D"/>
    <w:rsid w:val="004535CF"/>
    <w:rsid w:val="00454936"/>
    <w:rsid w:val="0045791F"/>
    <w:rsid w:val="00472A35"/>
    <w:rsid w:val="0047562F"/>
    <w:rsid w:val="004758D3"/>
    <w:rsid w:val="004847DA"/>
    <w:rsid w:val="00486711"/>
    <w:rsid w:val="004916F8"/>
    <w:rsid w:val="00492F19"/>
    <w:rsid w:val="00496814"/>
    <w:rsid w:val="00497BF5"/>
    <w:rsid w:val="004A0831"/>
    <w:rsid w:val="004A30DF"/>
    <w:rsid w:val="004A6A61"/>
    <w:rsid w:val="004B4319"/>
    <w:rsid w:val="004B4913"/>
    <w:rsid w:val="004B6A64"/>
    <w:rsid w:val="004B7A02"/>
    <w:rsid w:val="004C03FA"/>
    <w:rsid w:val="004C1401"/>
    <w:rsid w:val="004C26DC"/>
    <w:rsid w:val="004C3021"/>
    <w:rsid w:val="004C4652"/>
    <w:rsid w:val="004C5B6A"/>
    <w:rsid w:val="004C6E57"/>
    <w:rsid w:val="004D0E9C"/>
    <w:rsid w:val="004D3DAC"/>
    <w:rsid w:val="004D6A8E"/>
    <w:rsid w:val="004E0CD1"/>
    <w:rsid w:val="004E1AF7"/>
    <w:rsid w:val="004E20D2"/>
    <w:rsid w:val="004E46E1"/>
    <w:rsid w:val="004E5B7C"/>
    <w:rsid w:val="004F2D9F"/>
    <w:rsid w:val="004F34DB"/>
    <w:rsid w:val="004F48A4"/>
    <w:rsid w:val="00501197"/>
    <w:rsid w:val="00502D36"/>
    <w:rsid w:val="00503DF8"/>
    <w:rsid w:val="00506D69"/>
    <w:rsid w:val="00510CAC"/>
    <w:rsid w:val="00511D8D"/>
    <w:rsid w:val="00513DEC"/>
    <w:rsid w:val="00520E0E"/>
    <w:rsid w:val="00522D21"/>
    <w:rsid w:val="00522F31"/>
    <w:rsid w:val="00523E64"/>
    <w:rsid w:val="00524941"/>
    <w:rsid w:val="00525B17"/>
    <w:rsid w:val="00526AA8"/>
    <w:rsid w:val="005339E6"/>
    <w:rsid w:val="00533E32"/>
    <w:rsid w:val="005375EC"/>
    <w:rsid w:val="00546E67"/>
    <w:rsid w:val="00551642"/>
    <w:rsid w:val="005519A9"/>
    <w:rsid w:val="00551E85"/>
    <w:rsid w:val="00553270"/>
    <w:rsid w:val="0056117D"/>
    <w:rsid w:val="005612D3"/>
    <w:rsid w:val="00570A1F"/>
    <w:rsid w:val="00572FED"/>
    <w:rsid w:val="00573DFE"/>
    <w:rsid w:val="00576EC6"/>
    <w:rsid w:val="005778E0"/>
    <w:rsid w:val="00577A77"/>
    <w:rsid w:val="0058144F"/>
    <w:rsid w:val="0058168D"/>
    <w:rsid w:val="00581C29"/>
    <w:rsid w:val="00583736"/>
    <w:rsid w:val="00586DA1"/>
    <w:rsid w:val="00591A18"/>
    <w:rsid w:val="00591BBD"/>
    <w:rsid w:val="00591CA8"/>
    <w:rsid w:val="005930AC"/>
    <w:rsid w:val="00595B78"/>
    <w:rsid w:val="0059730C"/>
    <w:rsid w:val="005A64E1"/>
    <w:rsid w:val="005A6759"/>
    <w:rsid w:val="005A7AF9"/>
    <w:rsid w:val="005B0728"/>
    <w:rsid w:val="005C0624"/>
    <w:rsid w:val="005C0ED8"/>
    <w:rsid w:val="005C1211"/>
    <w:rsid w:val="005C297B"/>
    <w:rsid w:val="005C2ECA"/>
    <w:rsid w:val="005C4F7C"/>
    <w:rsid w:val="005D4EC7"/>
    <w:rsid w:val="005D7C8B"/>
    <w:rsid w:val="005D7DBF"/>
    <w:rsid w:val="005E279E"/>
    <w:rsid w:val="005E3C21"/>
    <w:rsid w:val="005E4519"/>
    <w:rsid w:val="005E4752"/>
    <w:rsid w:val="005E6896"/>
    <w:rsid w:val="005E6CF4"/>
    <w:rsid w:val="005E7509"/>
    <w:rsid w:val="005F4333"/>
    <w:rsid w:val="005F6D0C"/>
    <w:rsid w:val="005F731B"/>
    <w:rsid w:val="005F7E34"/>
    <w:rsid w:val="006001EE"/>
    <w:rsid w:val="006036EB"/>
    <w:rsid w:val="00604334"/>
    <w:rsid w:val="006044F1"/>
    <w:rsid w:val="0060538A"/>
    <w:rsid w:val="00612519"/>
    <w:rsid w:val="0061326A"/>
    <w:rsid w:val="006136AF"/>
    <w:rsid w:val="0061567D"/>
    <w:rsid w:val="00627E20"/>
    <w:rsid w:val="00633D63"/>
    <w:rsid w:val="006377AF"/>
    <w:rsid w:val="00642232"/>
    <w:rsid w:val="00644159"/>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752FF"/>
    <w:rsid w:val="00680A31"/>
    <w:rsid w:val="00680A7F"/>
    <w:rsid w:val="00690BC6"/>
    <w:rsid w:val="00692D84"/>
    <w:rsid w:val="00692F9C"/>
    <w:rsid w:val="00693644"/>
    <w:rsid w:val="00694F37"/>
    <w:rsid w:val="00697180"/>
    <w:rsid w:val="00697428"/>
    <w:rsid w:val="006A2D7D"/>
    <w:rsid w:val="006A4EFD"/>
    <w:rsid w:val="006A50EA"/>
    <w:rsid w:val="006A6374"/>
    <w:rsid w:val="006B13CE"/>
    <w:rsid w:val="006B1EFB"/>
    <w:rsid w:val="006C064C"/>
    <w:rsid w:val="006C14AB"/>
    <w:rsid w:val="006C1739"/>
    <w:rsid w:val="006C1F25"/>
    <w:rsid w:val="006C310C"/>
    <w:rsid w:val="006C3353"/>
    <w:rsid w:val="006C3897"/>
    <w:rsid w:val="006D083D"/>
    <w:rsid w:val="006D2A3A"/>
    <w:rsid w:val="006D5844"/>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6E5"/>
    <w:rsid w:val="006F7C58"/>
    <w:rsid w:val="00702CB7"/>
    <w:rsid w:val="00703C84"/>
    <w:rsid w:val="00704FA4"/>
    <w:rsid w:val="0070684D"/>
    <w:rsid w:val="007130DA"/>
    <w:rsid w:val="007147DB"/>
    <w:rsid w:val="00717BA4"/>
    <w:rsid w:val="0072046B"/>
    <w:rsid w:val="0072713E"/>
    <w:rsid w:val="00734152"/>
    <w:rsid w:val="00734F3B"/>
    <w:rsid w:val="00735384"/>
    <w:rsid w:val="00736485"/>
    <w:rsid w:val="007423F4"/>
    <w:rsid w:val="007452D3"/>
    <w:rsid w:val="00747ADB"/>
    <w:rsid w:val="00750754"/>
    <w:rsid w:val="00751366"/>
    <w:rsid w:val="007513DE"/>
    <w:rsid w:val="007522E6"/>
    <w:rsid w:val="00755141"/>
    <w:rsid w:val="00755539"/>
    <w:rsid w:val="007611D7"/>
    <w:rsid w:val="007612C0"/>
    <w:rsid w:val="00761947"/>
    <w:rsid w:val="00763D3F"/>
    <w:rsid w:val="00764B8C"/>
    <w:rsid w:val="00765AA2"/>
    <w:rsid w:val="00766C52"/>
    <w:rsid w:val="00771186"/>
    <w:rsid w:val="00772011"/>
    <w:rsid w:val="00773FD7"/>
    <w:rsid w:val="00775FC6"/>
    <w:rsid w:val="00776BE1"/>
    <w:rsid w:val="00777BE2"/>
    <w:rsid w:val="00780655"/>
    <w:rsid w:val="0078101F"/>
    <w:rsid w:val="007834FE"/>
    <w:rsid w:val="00785C90"/>
    <w:rsid w:val="00792383"/>
    <w:rsid w:val="00792A1E"/>
    <w:rsid w:val="00795261"/>
    <w:rsid w:val="00795C72"/>
    <w:rsid w:val="00796291"/>
    <w:rsid w:val="007A399D"/>
    <w:rsid w:val="007A42BE"/>
    <w:rsid w:val="007A460B"/>
    <w:rsid w:val="007A585F"/>
    <w:rsid w:val="007A5EAE"/>
    <w:rsid w:val="007B2421"/>
    <w:rsid w:val="007B3E55"/>
    <w:rsid w:val="007B5CF3"/>
    <w:rsid w:val="007B7159"/>
    <w:rsid w:val="007C1A9B"/>
    <w:rsid w:val="007C6AB5"/>
    <w:rsid w:val="007C70CD"/>
    <w:rsid w:val="007C71CD"/>
    <w:rsid w:val="007D1DC5"/>
    <w:rsid w:val="007D1E52"/>
    <w:rsid w:val="007D3A9C"/>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1EA6"/>
    <w:rsid w:val="00813827"/>
    <w:rsid w:val="00815703"/>
    <w:rsid w:val="00823F45"/>
    <w:rsid w:val="00825BD0"/>
    <w:rsid w:val="00826601"/>
    <w:rsid w:val="008279EE"/>
    <w:rsid w:val="00827FF9"/>
    <w:rsid w:val="00833242"/>
    <w:rsid w:val="00833778"/>
    <w:rsid w:val="00836FD4"/>
    <w:rsid w:val="00840EFC"/>
    <w:rsid w:val="00841B92"/>
    <w:rsid w:val="00841EBE"/>
    <w:rsid w:val="00842E87"/>
    <w:rsid w:val="008436BE"/>
    <w:rsid w:val="00844D44"/>
    <w:rsid w:val="00846E20"/>
    <w:rsid w:val="00851826"/>
    <w:rsid w:val="0085348E"/>
    <w:rsid w:val="00857007"/>
    <w:rsid w:val="00864B06"/>
    <w:rsid w:val="00873D60"/>
    <w:rsid w:val="008802EC"/>
    <w:rsid w:val="00887DB3"/>
    <w:rsid w:val="0089037F"/>
    <w:rsid w:val="008916E5"/>
    <w:rsid w:val="008935B4"/>
    <w:rsid w:val="00893E3B"/>
    <w:rsid w:val="0089446D"/>
    <w:rsid w:val="008945B3"/>
    <w:rsid w:val="00894B35"/>
    <w:rsid w:val="008A1B08"/>
    <w:rsid w:val="008A7B99"/>
    <w:rsid w:val="008B1E6E"/>
    <w:rsid w:val="008B200A"/>
    <w:rsid w:val="008B41E6"/>
    <w:rsid w:val="008B699F"/>
    <w:rsid w:val="008B7A32"/>
    <w:rsid w:val="008C2ABD"/>
    <w:rsid w:val="008C37ED"/>
    <w:rsid w:val="008C6F1C"/>
    <w:rsid w:val="008D2015"/>
    <w:rsid w:val="008D2A82"/>
    <w:rsid w:val="008D4423"/>
    <w:rsid w:val="008D5362"/>
    <w:rsid w:val="008E0612"/>
    <w:rsid w:val="008E3ACC"/>
    <w:rsid w:val="008E4F5F"/>
    <w:rsid w:val="008E5A4E"/>
    <w:rsid w:val="008F04DD"/>
    <w:rsid w:val="008F250C"/>
    <w:rsid w:val="009002A6"/>
    <w:rsid w:val="009028D5"/>
    <w:rsid w:val="0090622A"/>
    <w:rsid w:val="00912754"/>
    <w:rsid w:val="00913FB5"/>
    <w:rsid w:val="00915F61"/>
    <w:rsid w:val="00916E98"/>
    <w:rsid w:val="009209A2"/>
    <w:rsid w:val="009220D9"/>
    <w:rsid w:val="0092440B"/>
    <w:rsid w:val="00924457"/>
    <w:rsid w:val="00924B60"/>
    <w:rsid w:val="00926055"/>
    <w:rsid w:val="00926F53"/>
    <w:rsid w:val="00933795"/>
    <w:rsid w:val="00937556"/>
    <w:rsid w:val="00943382"/>
    <w:rsid w:val="00944D03"/>
    <w:rsid w:val="00946EEF"/>
    <w:rsid w:val="00952773"/>
    <w:rsid w:val="00953742"/>
    <w:rsid w:val="009559A9"/>
    <w:rsid w:val="00971B98"/>
    <w:rsid w:val="009721C3"/>
    <w:rsid w:val="00972E25"/>
    <w:rsid w:val="00974166"/>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2EF3"/>
    <w:rsid w:val="009A6421"/>
    <w:rsid w:val="009B05B9"/>
    <w:rsid w:val="009B0971"/>
    <w:rsid w:val="009B1A81"/>
    <w:rsid w:val="009B2E34"/>
    <w:rsid w:val="009B33E2"/>
    <w:rsid w:val="009B4521"/>
    <w:rsid w:val="009B581A"/>
    <w:rsid w:val="009B64F5"/>
    <w:rsid w:val="009B67F5"/>
    <w:rsid w:val="009C06B2"/>
    <w:rsid w:val="009C3392"/>
    <w:rsid w:val="009C5CB0"/>
    <w:rsid w:val="009C6072"/>
    <w:rsid w:val="009C6C28"/>
    <w:rsid w:val="009D1F42"/>
    <w:rsid w:val="009D3BA3"/>
    <w:rsid w:val="009D475B"/>
    <w:rsid w:val="009D636C"/>
    <w:rsid w:val="009E21EE"/>
    <w:rsid w:val="009E276E"/>
    <w:rsid w:val="009E2BC8"/>
    <w:rsid w:val="009E33E5"/>
    <w:rsid w:val="009F23C6"/>
    <w:rsid w:val="009F29E7"/>
    <w:rsid w:val="009F7239"/>
    <w:rsid w:val="00A00AD6"/>
    <w:rsid w:val="00A039F0"/>
    <w:rsid w:val="00A04319"/>
    <w:rsid w:val="00A04FEF"/>
    <w:rsid w:val="00A06DB6"/>
    <w:rsid w:val="00A10546"/>
    <w:rsid w:val="00A10EA8"/>
    <w:rsid w:val="00A12142"/>
    <w:rsid w:val="00A14700"/>
    <w:rsid w:val="00A275F1"/>
    <w:rsid w:val="00A35312"/>
    <w:rsid w:val="00A36956"/>
    <w:rsid w:val="00A46E60"/>
    <w:rsid w:val="00A46E66"/>
    <w:rsid w:val="00A502E5"/>
    <w:rsid w:val="00A50982"/>
    <w:rsid w:val="00A51E23"/>
    <w:rsid w:val="00A527C4"/>
    <w:rsid w:val="00A53E79"/>
    <w:rsid w:val="00A5566F"/>
    <w:rsid w:val="00A6352A"/>
    <w:rsid w:val="00A64E47"/>
    <w:rsid w:val="00A66106"/>
    <w:rsid w:val="00A669D4"/>
    <w:rsid w:val="00A66FF9"/>
    <w:rsid w:val="00A6715B"/>
    <w:rsid w:val="00A72322"/>
    <w:rsid w:val="00A7361A"/>
    <w:rsid w:val="00A73819"/>
    <w:rsid w:val="00A81414"/>
    <w:rsid w:val="00A82E94"/>
    <w:rsid w:val="00A84CC9"/>
    <w:rsid w:val="00A84E81"/>
    <w:rsid w:val="00A8704C"/>
    <w:rsid w:val="00A90416"/>
    <w:rsid w:val="00A916A2"/>
    <w:rsid w:val="00A94F62"/>
    <w:rsid w:val="00A960A2"/>
    <w:rsid w:val="00AA1324"/>
    <w:rsid w:val="00AA3443"/>
    <w:rsid w:val="00AA633D"/>
    <w:rsid w:val="00AB10EF"/>
    <w:rsid w:val="00AB25C7"/>
    <w:rsid w:val="00AB353F"/>
    <w:rsid w:val="00AB54BE"/>
    <w:rsid w:val="00AB78C7"/>
    <w:rsid w:val="00AC0F23"/>
    <w:rsid w:val="00AC41DD"/>
    <w:rsid w:val="00AC6018"/>
    <w:rsid w:val="00AC7987"/>
    <w:rsid w:val="00AD56CA"/>
    <w:rsid w:val="00AD57E0"/>
    <w:rsid w:val="00AD765C"/>
    <w:rsid w:val="00AD766B"/>
    <w:rsid w:val="00AE080D"/>
    <w:rsid w:val="00AE0FDB"/>
    <w:rsid w:val="00AE29F9"/>
    <w:rsid w:val="00AF3162"/>
    <w:rsid w:val="00AF437B"/>
    <w:rsid w:val="00AF4E92"/>
    <w:rsid w:val="00AF4EB8"/>
    <w:rsid w:val="00AF66FE"/>
    <w:rsid w:val="00AF7A5D"/>
    <w:rsid w:val="00B005CA"/>
    <w:rsid w:val="00B00F20"/>
    <w:rsid w:val="00B013CE"/>
    <w:rsid w:val="00B02746"/>
    <w:rsid w:val="00B03193"/>
    <w:rsid w:val="00B0358E"/>
    <w:rsid w:val="00B03E07"/>
    <w:rsid w:val="00B05176"/>
    <w:rsid w:val="00B05C62"/>
    <w:rsid w:val="00B05ED0"/>
    <w:rsid w:val="00B05F07"/>
    <w:rsid w:val="00B11D01"/>
    <w:rsid w:val="00B134BF"/>
    <w:rsid w:val="00B137E5"/>
    <w:rsid w:val="00B139D0"/>
    <w:rsid w:val="00B15F9D"/>
    <w:rsid w:val="00B2032C"/>
    <w:rsid w:val="00B224BF"/>
    <w:rsid w:val="00B22993"/>
    <w:rsid w:val="00B233D9"/>
    <w:rsid w:val="00B24199"/>
    <w:rsid w:val="00B253B8"/>
    <w:rsid w:val="00B260AC"/>
    <w:rsid w:val="00B302A3"/>
    <w:rsid w:val="00B315F7"/>
    <w:rsid w:val="00B32FDF"/>
    <w:rsid w:val="00B33A91"/>
    <w:rsid w:val="00B35897"/>
    <w:rsid w:val="00B35A15"/>
    <w:rsid w:val="00B36B5C"/>
    <w:rsid w:val="00B42491"/>
    <w:rsid w:val="00B44208"/>
    <w:rsid w:val="00B44A8F"/>
    <w:rsid w:val="00B46108"/>
    <w:rsid w:val="00B52262"/>
    <w:rsid w:val="00B541E7"/>
    <w:rsid w:val="00B56027"/>
    <w:rsid w:val="00B57555"/>
    <w:rsid w:val="00B61DF2"/>
    <w:rsid w:val="00B63C2B"/>
    <w:rsid w:val="00B65107"/>
    <w:rsid w:val="00B652A0"/>
    <w:rsid w:val="00B76E24"/>
    <w:rsid w:val="00B76FB7"/>
    <w:rsid w:val="00B825E3"/>
    <w:rsid w:val="00B825F1"/>
    <w:rsid w:val="00B82A83"/>
    <w:rsid w:val="00B83E82"/>
    <w:rsid w:val="00B8621E"/>
    <w:rsid w:val="00BA3449"/>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3E84"/>
    <w:rsid w:val="00BE4E62"/>
    <w:rsid w:val="00BE4FD9"/>
    <w:rsid w:val="00BE53D1"/>
    <w:rsid w:val="00BE61B4"/>
    <w:rsid w:val="00BE66FE"/>
    <w:rsid w:val="00BE6D6E"/>
    <w:rsid w:val="00BE7D57"/>
    <w:rsid w:val="00BF1286"/>
    <w:rsid w:val="00BF27CA"/>
    <w:rsid w:val="00BF5714"/>
    <w:rsid w:val="00BF6817"/>
    <w:rsid w:val="00BF7FB9"/>
    <w:rsid w:val="00C00C07"/>
    <w:rsid w:val="00C0244D"/>
    <w:rsid w:val="00C0309D"/>
    <w:rsid w:val="00C03EBF"/>
    <w:rsid w:val="00C0478C"/>
    <w:rsid w:val="00C0700F"/>
    <w:rsid w:val="00C11724"/>
    <w:rsid w:val="00C12E5D"/>
    <w:rsid w:val="00C155C1"/>
    <w:rsid w:val="00C16186"/>
    <w:rsid w:val="00C16BFB"/>
    <w:rsid w:val="00C16D13"/>
    <w:rsid w:val="00C2137E"/>
    <w:rsid w:val="00C2359F"/>
    <w:rsid w:val="00C23FA9"/>
    <w:rsid w:val="00C30150"/>
    <w:rsid w:val="00C303A7"/>
    <w:rsid w:val="00C35771"/>
    <w:rsid w:val="00C3604C"/>
    <w:rsid w:val="00C36CE9"/>
    <w:rsid w:val="00C376AE"/>
    <w:rsid w:val="00C41E7E"/>
    <w:rsid w:val="00C502BF"/>
    <w:rsid w:val="00C50964"/>
    <w:rsid w:val="00C50D5B"/>
    <w:rsid w:val="00C51AAC"/>
    <w:rsid w:val="00C555D6"/>
    <w:rsid w:val="00C56760"/>
    <w:rsid w:val="00C610C8"/>
    <w:rsid w:val="00C62D3A"/>
    <w:rsid w:val="00C658B8"/>
    <w:rsid w:val="00C65B0A"/>
    <w:rsid w:val="00C666DE"/>
    <w:rsid w:val="00C67B7D"/>
    <w:rsid w:val="00C72C32"/>
    <w:rsid w:val="00C736DD"/>
    <w:rsid w:val="00C76248"/>
    <w:rsid w:val="00C802AF"/>
    <w:rsid w:val="00C80CD2"/>
    <w:rsid w:val="00C8291A"/>
    <w:rsid w:val="00C83BBD"/>
    <w:rsid w:val="00C866CB"/>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5B2B"/>
    <w:rsid w:val="00CC6489"/>
    <w:rsid w:val="00CC70B6"/>
    <w:rsid w:val="00CD1C4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1AAD"/>
    <w:rsid w:val="00D22F82"/>
    <w:rsid w:val="00D23477"/>
    <w:rsid w:val="00D2660A"/>
    <w:rsid w:val="00D303BC"/>
    <w:rsid w:val="00D31C54"/>
    <w:rsid w:val="00D31DEA"/>
    <w:rsid w:val="00D32DCE"/>
    <w:rsid w:val="00D33975"/>
    <w:rsid w:val="00D33A11"/>
    <w:rsid w:val="00D43D11"/>
    <w:rsid w:val="00D44B7F"/>
    <w:rsid w:val="00D44EB1"/>
    <w:rsid w:val="00D56C00"/>
    <w:rsid w:val="00D64020"/>
    <w:rsid w:val="00D64061"/>
    <w:rsid w:val="00D64810"/>
    <w:rsid w:val="00D65F70"/>
    <w:rsid w:val="00D667E8"/>
    <w:rsid w:val="00D703A9"/>
    <w:rsid w:val="00D70DF9"/>
    <w:rsid w:val="00D72334"/>
    <w:rsid w:val="00D76CF9"/>
    <w:rsid w:val="00D77C62"/>
    <w:rsid w:val="00D77E37"/>
    <w:rsid w:val="00D80E6D"/>
    <w:rsid w:val="00D84A1E"/>
    <w:rsid w:val="00D854EC"/>
    <w:rsid w:val="00D91E61"/>
    <w:rsid w:val="00D94947"/>
    <w:rsid w:val="00D94976"/>
    <w:rsid w:val="00DA06EA"/>
    <w:rsid w:val="00DA4052"/>
    <w:rsid w:val="00DA4F9E"/>
    <w:rsid w:val="00DA55F7"/>
    <w:rsid w:val="00DA5DE7"/>
    <w:rsid w:val="00DB5174"/>
    <w:rsid w:val="00DB5F13"/>
    <w:rsid w:val="00DC0246"/>
    <w:rsid w:val="00DC2377"/>
    <w:rsid w:val="00DD1220"/>
    <w:rsid w:val="00DD2570"/>
    <w:rsid w:val="00DD3CD8"/>
    <w:rsid w:val="00DD3E39"/>
    <w:rsid w:val="00DD3F2C"/>
    <w:rsid w:val="00DD6F38"/>
    <w:rsid w:val="00DE0F8D"/>
    <w:rsid w:val="00DE33C3"/>
    <w:rsid w:val="00DE38D0"/>
    <w:rsid w:val="00DE4DE9"/>
    <w:rsid w:val="00DE6F81"/>
    <w:rsid w:val="00DE7325"/>
    <w:rsid w:val="00DF2644"/>
    <w:rsid w:val="00DF39A8"/>
    <w:rsid w:val="00DF7107"/>
    <w:rsid w:val="00E008BE"/>
    <w:rsid w:val="00E019A2"/>
    <w:rsid w:val="00E02592"/>
    <w:rsid w:val="00E06C8B"/>
    <w:rsid w:val="00E070B7"/>
    <w:rsid w:val="00E10B6E"/>
    <w:rsid w:val="00E132A3"/>
    <w:rsid w:val="00E14504"/>
    <w:rsid w:val="00E14A79"/>
    <w:rsid w:val="00E20879"/>
    <w:rsid w:val="00E223CA"/>
    <w:rsid w:val="00E22E0B"/>
    <w:rsid w:val="00E2648A"/>
    <w:rsid w:val="00E26611"/>
    <w:rsid w:val="00E26AF3"/>
    <w:rsid w:val="00E27646"/>
    <w:rsid w:val="00E36737"/>
    <w:rsid w:val="00E43787"/>
    <w:rsid w:val="00E43E42"/>
    <w:rsid w:val="00E446B6"/>
    <w:rsid w:val="00E44CD5"/>
    <w:rsid w:val="00E44DB7"/>
    <w:rsid w:val="00E45D59"/>
    <w:rsid w:val="00E47FBF"/>
    <w:rsid w:val="00E510FE"/>
    <w:rsid w:val="00E51DD5"/>
    <w:rsid w:val="00E5424F"/>
    <w:rsid w:val="00E61884"/>
    <w:rsid w:val="00E647F8"/>
    <w:rsid w:val="00E675DA"/>
    <w:rsid w:val="00E67E62"/>
    <w:rsid w:val="00E73040"/>
    <w:rsid w:val="00E766FD"/>
    <w:rsid w:val="00E77957"/>
    <w:rsid w:val="00E80D07"/>
    <w:rsid w:val="00E81ABD"/>
    <w:rsid w:val="00E844E6"/>
    <w:rsid w:val="00E84F27"/>
    <w:rsid w:val="00E87D1D"/>
    <w:rsid w:val="00E90B80"/>
    <w:rsid w:val="00E913CF"/>
    <w:rsid w:val="00E93F82"/>
    <w:rsid w:val="00E9591F"/>
    <w:rsid w:val="00E96EDD"/>
    <w:rsid w:val="00EA06A3"/>
    <w:rsid w:val="00EA39B5"/>
    <w:rsid w:val="00EA584E"/>
    <w:rsid w:val="00EB15A6"/>
    <w:rsid w:val="00EB1A0D"/>
    <w:rsid w:val="00EB3843"/>
    <w:rsid w:val="00EB67FE"/>
    <w:rsid w:val="00EB7108"/>
    <w:rsid w:val="00EC1864"/>
    <w:rsid w:val="00EC1DE8"/>
    <w:rsid w:val="00EC2F34"/>
    <w:rsid w:val="00EC576E"/>
    <w:rsid w:val="00EC69FF"/>
    <w:rsid w:val="00ED1F5E"/>
    <w:rsid w:val="00ED2BE0"/>
    <w:rsid w:val="00ED3BBE"/>
    <w:rsid w:val="00ED61ED"/>
    <w:rsid w:val="00ED7A00"/>
    <w:rsid w:val="00EE2FF2"/>
    <w:rsid w:val="00EE4940"/>
    <w:rsid w:val="00EE4F68"/>
    <w:rsid w:val="00EE4FBC"/>
    <w:rsid w:val="00EE5562"/>
    <w:rsid w:val="00EF23CE"/>
    <w:rsid w:val="00EF26DB"/>
    <w:rsid w:val="00EF4366"/>
    <w:rsid w:val="00EF6401"/>
    <w:rsid w:val="00F00E69"/>
    <w:rsid w:val="00F05E0E"/>
    <w:rsid w:val="00F065CD"/>
    <w:rsid w:val="00F07AE0"/>
    <w:rsid w:val="00F1470F"/>
    <w:rsid w:val="00F16CF0"/>
    <w:rsid w:val="00F2074B"/>
    <w:rsid w:val="00F226DD"/>
    <w:rsid w:val="00F24136"/>
    <w:rsid w:val="00F2523F"/>
    <w:rsid w:val="00F30AC4"/>
    <w:rsid w:val="00F3285E"/>
    <w:rsid w:val="00F33015"/>
    <w:rsid w:val="00F40041"/>
    <w:rsid w:val="00F4081F"/>
    <w:rsid w:val="00F40963"/>
    <w:rsid w:val="00F40D8E"/>
    <w:rsid w:val="00F40FBF"/>
    <w:rsid w:val="00F42321"/>
    <w:rsid w:val="00F42A58"/>
    <w:rsid w:val="00F44C2A"/>
    <w:rsid w:val="00F46A21"/>
    <w:rsid w:val="00F4795C"/>
    <w:rsid w:val="00F51307"/>
    <w:rsid w:val="00F51FB2"/>
    <w:rsid w:val="00F52EB9"/>
    <w:rsid w:val="00F538F3"/>
    <w:rsid w:val="00F53D4F"/>
    <w:rsid w:val="00F61C11"/>
    <w:rsid w:val="00F621AA"/>
    <w:rsid w:val="00F67837"/>
    <w:rsid w:val="00F72E78"/>
    <w:rsid w:val="00F76E6E"/>
    <w:rsid w:val="00F77361"/>
    <w:rsid w:val="00F856AB"/>
    <w:rsid w:val="00F909D8"/>
    <w:rsid w:val="00F91239"/>
    <w:rsid w:val="00F93AF4"/>
    <w:rsid w:val="00FA10AC"/>
    <w:rsid w:val="00FA2BAD"/>
    <w:rsid w:val="00FA2C8F"/>
    <w:rsid w:val="00FA44ED"/>
    <w:rsid w:val="00FB1C51"/>
    <w:rsid w:val="00FB3C86"/>
    <w:rsid w:val="00FB52A0"/>
    <w:rsid w:val="00FB5D26"/>
    <w:rsid w:val="00FB604D"/>
    <w:rsid w:val="00FB6720"/>
    <w:rsid w:val="00FB6BE0"/>
    <w:rsid w:val="00FB7527"/>
    <w:rsid w:val="00FC0C91"/>
    <w:rsid w:val="00FC30E0"/>
    <w:rsid w:val="00FC39A1"/>
    <w:rsid w:val="00FC5405"/>
    <w:rsid w:val="00FC5F7D"/>
    <w:rsid w:val="00FC70C4"/>
    <w:rsid w:val="00FC7EE0"/>
    <w:rsid w:val="00FD53A0"/>
    <w:rsid w:val="00FD5F85"/>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41F9D"/>
  <w15:chartTrackingRefBased/>
  <w15:docId w15:val="{2E5AE09C-DB6E-4D0E-BAC9-031D5BF1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3BBE"/>
    <w:rPr>
      <w:kern w:val="2"/>
      <w14:ligatures w14:val="standardContextual"/>
    </w:rPr>
  </w:style>
  <w:style w:type="paragraph" w:styleId="Titolo1">
    <w:name w:val="heading 1"/>
    <w:basedOn w:val="Normale"/>
    <w:next w:val="Normale"/>
    <w:link w:val="Titolo1Carattere"/>
    <w:uiPriority w:val="9"/>
    <w:rsid w:val="006F0D8C"/>
    <w:pPr>
      <w:spacing w:after="0" w:line="320" w:lineRule="exact"/>
      <w:outlineLvl w:val="0"/>
    </w:pPr>
    <w:rPr>
      <w:rFonts w:ascii="MB Corpo A Title Cond Office" w:eastAsiaTheme="minorEastAsia" w:hAnsi="MB Corpo A Title Cond Office"/>
      <w:sz w:val="32"/>
      <w:szCs w:val="24"/>
      <w:lang w:val="en-GB" w:eastAsia="de-DE"/>
    </w:rPr>
  </w:style>
  <w:style w:type="paragraph" w:styleId="Titolo2">
    <w:name w:val="heading 2"/>
    <w:basedOn w:val="Normale"/>
    <w:next w:val="Normale"/>
    <w:link w:val="Titolo2Carattere"/>
    <w:uiPriority w:val="9"/>
    <w:unhideWhenUsed/>
    <w:rsid w:val="00CB3279"/>
    <w:pPr>
      <w:keepNext/>
      <w:keepLines/>
      <w:spacing w:after="0" w:line="240" w:lineRule="auto"/>
      <w:outlineLvl w:val="1"/>
    </w:pPr>
    <w:rPr>
      <w:rFonts w:ascii="MB Corpo S Text Office Light" w:eastAsiaTheme="majorEastAsia" w:hAnsi="MB Corpo S Text Office Light" w:cstheme="majorBidi"/>
      <w:sz w:val="21"/>
      <w:szCs w:val="26"/>
      <w:lang w:val="en-GB"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after="0" w:line="170" w:lineRule="exact"/>
    </w:pPr>
    <w:rPr>
      <w:rFonts w:eastAsiaTheme="minorEastAsia"/>
      <w:sz w:val="15"/>
      <w:szCs w:val="24"/>
      <w:lang w:val="en-GB" w:eastAsia="de-DE"/>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after="0" w:line="170" w:lineRule="exact"/>
    </w:pPr>
    <w:rPr>
      <w:rFonts w:eastAsiaTheme="minorEastAsia"/>
      <w:sz w:val="15"/>
      <w:szCs w:val="24"/>
      <w:lang w:val="en-GB" w:eastAsia="de-DE"/>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aliases w:val="Agenda,Liste à puces retrait droite,Liste ? puces retrait droite,Numbered Para 1,Dot pt,No Spacing1,List Paragraph Char Char Char,Indicator Text,Bullet Points,MAIN CONTENT,F5 List Paragraph,Bullet 1,OBC Bullet,L,Listenabsatz1"/>
    <w:basedOn w:val="Normale"/>
    <w:link w:val="ParagrafoelencoCarattere"/>
    <w:uiPriority w:val="34"/>
    <w:qFormat/>
    <w:rsid w:val="005612D3"/>
    <w:pPr>
      <w:spacing w:after="0" w:line="240" w:lineRule="auto"/>
      <w:ind w:left="516" w:hanging="301"/>
      <w:contextualSpacing/>
    </w:pPr>
    <w:rPr>
      <w:rFonts w:ascii="MB Corpo S Text Office Light" w:hAnsi="MB Corpo S Text Office Light"/>
      <w:kern w:val="0"/>
      <w:sz w:val="21"/>
      <w:lang w:val="en-GB"/>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line="240" w:lineRule="auto"/>
      <w:ind w:left="442"/>
    </w:pPr>
    <w:rPr>
      <w:rFonts w:eastAsiaTheme="minorEastAsia" w:cs="Times New Roman"/>
      <w:kern w:val="0"/>
      <w:lang w:val="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spacing w:after="0" w:line="240" w:lineRule="auto"/>
      <w:ind w:left="215"/>
    </w:pPr>
    <w:rPr>
      <w:rFonts w:eastAsiaTheme="minorEastAsia"/>
      <w:sz w:val="21"/>
      <w:szCs w:val="24"/>
      <w:lang w:val="en-GB" w:eastAsia="de-DE"/>
    </w:rPr>
  </w:style>
  <w:style w:type="paragraph" w:styleId="Revisione">
    <w:name w:val="Revision"/>
    <w:hidden/>
    <w:uiPriority w:val="99"/>
    <w:semiHidden/>
    <w:rsid w:val="000973D6"/>
    <w:pPr>
      <w:spacing w:after="0" w:line="240" w:lineRule="auto"/>
    </w:pPr>
    <w:rPr>
      <w:kern w:val="2"/>
      <w14:ligatures w14:val="standardContextual"/>
    </w:rPr>
  </w:style>
  <w:style w:type="character" w:styleId="Rimandocommento">
    <w:name w:val="annotation reference"/>
    <w:basedOn w:val="Carpredefinitoparagrafo"/>
    <w:uiPriority w:val="99"/>
    <w:semiHidden/>
    <w:unhideWhenUsed/>
    <w:rsid w:val="00703C84"/>
    <w:rPr>
      <w:sz w:val="16"/>
      <w:szCs w:val="16"/>
    </w:rPr>
  </w:style>
  <w:style w:type="paragraph" w:styleId="Testocommento">
    <w:name w:val="annotation text"/>
    <w:basedOn w:val="Normale"/>
    <w:link w:val="TestocommentoCarattere"/>
    <w:uiPriority w:val="99"/>
    <w:unhideWhenUsed/>
    <w:rsid w:val="00703C84"/>
    <w:pPr>
      <w:spacing w:line="240" w:lineRule="auto"/>
    </w:pPr>
    <w:rPr>
      <w:sz w:val="20"/>
      <w:szCs w:val="20"/>
    </w:rPr>
  </w:style>
  <w:style w:type="character" w:customStyle="1" w:styleId="TestocommentoCarattere">
    <w:name w:val="Testo commento Carattere"/>
    <w:basedOn w:val="Carpredefinitoparagrafo"/>
    <w:link w:val="Testocommento"/>
    <w:uiPriority w:val="99"/>
    <w:rsid w:val="00703C84"/>
    <w:rPr>
      <w:kern w:val="2"/>
      <w:sz w:val="20"/>
      <w:szCs w:val="20"/>
      <w14:ligatures w14:val="standardContextual"/>
    </w:rPr>
  </w:style>
  <w:style w:type="paragraph" w:styleId="Soggettocommento">
    <w:name w:val="annotation subject"/>
    <w:basedOn w:val="Testocommento"/>
    <w:next w:val="Testocommento"/>
    <w:link w:val="SoggettocommentoCarattere"/>
    <w:uiPriority w:val="99"/>
    <w:semiHidden/>
    <w:unhideWhenUsed/>
    <w:rsid w:val="00703C84"/>
    <w:rPr>
      <w:b/>
      <w:bCs/>
    </w:rPr>
  </w:style>
  <w:style w:type="character" w:customStyle="1" w:styleId="SoggettocommentoCarattere">
    <w:name w:val="Soggetto commento Carattere"/>
    <w:basedOn w:val="TestocommentoCarattere"/>
    <w:link w:val="Soggettocommento"/>
    <w:uiPriority w:val="99"/>
    <w:semiHidden/>
    <w:rsid w:val="00703C84"/>
    <w:rPr>
      <w:b/>
      <w:bCs/>
      <w:kern w:val="2"/>
      <w:sz w:val="20"/>
      <w:szCs w:val="20"/>
      <w14:ligatures w14:val="standardContextual"/>
    </w:rPr>
  </w:style>
  <w:style w:type="paragraph" w:styleId="NormaleWeb">
    <w:name w:val="Normal (Web)"/>
    <w:basedOn w:val="Normale"/>
    <w:uiPriority w:val="99"/>
    <w:semiHidden/>
    <w:unhideWhenUsed/>
    <w:rsid w:val="00CC5B2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ParagrafoelencoCarattere">
    <w:name w:val="Paragrafo elenco Carattere"/>
    <w:aliases w:val="Agenda Carattere,Liste à puces retrait droite Carattere,Liste ? puces retrait droite Carattere,Numbered Para 1 Carattere,Dot pt Carattere,No Spacing1 Carattere,List Paragraph Char Char Char Carattere,Indicator Text Carattere"/>
    <w:link w:val="Paragrafoelenco"/>
    <w:uiPriority w:val="34"/>
    <w:qFormat/>
    <w:locked/>
    <w:rsid w:val="00926F53"/>
    <w:rPr>
      <w:rFonts w:ascii="MB Corpo S Text Office Light" w:hAnsi="MB Corpo S Text Office Light"/>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6617">
      <w:bodyDiv w:val="1"/>
      <w:marLeft w:val="0"/>
      <w:marRight w:val="0"/>
      <w:marTop w:val="0"/>
      <w:marBottom w:val="0"/>
      <w:divBdr>
        <w:top w:val="none" w:sz="0" w:space="0" w:color="auto"/>
        <w:left w:val="none" w:sz="0" w:space="0" w:color="auto"/>
        <w:bottom w:val="none" w:sz="0" w:space="0" w:color="auto"/>
        <w:right w:val="none" w:sz="0" w:space="0" w:color="auto"/>
      </w:divBdr>
    </w:div>
    <w:div w:id="179006042">
      <w:bodyDiv w:val="1"/>
      <w:marLeft w:val="0"/>
      <w:marRight w:val="0"/>
      <w:marTop w:val="0"/>
      <w:marBottom w:val="0"/>
      <w:divBdr>
        <w:top w:val="none" w:sz="0" w:space="0" w:color="auto"/>
        <w:left w:val="none" w:sz="0" w:space="0" w:color="auto"/>
        <w:bottom w:val="none" w:sz="0" w:space="0" w:color="auto"/>
        <w:right w:val="none" w:sz="0" w:space="0" w:color="auto"/>
      </w:divBdr>
    </w:div>
    <w:div w:id="252520989">
      <w:bodyDiv w:val="1"/>
      <w:marLeft w:val="0"/>
      <w:marRight w:val="0"/>
      <w:marTop w:val="0"/>
      <w:marBottom w:val="0"/>
      <w:divBdr>
        <w:top w:val="none" w:sz="0" w:space="0" w:color="auto"/>
        <w:left w:val="none" w:sz="0" w:space="0" w:color="auto"/>
        <w:bottom w:val="none" w:sz="0" w:space="0" w:color="auto"/>
        <w:right w:val="none" w:sz="0" w:space="0" w:color="auto"/>
      </w:divBdr>
    </w:div>
    <w:div w:id="319582450">
      <w:bodyDiv w:val="1"/>
      <w:marLeft w:val="0"/>
      <w:marRight w:val="0"/>
      <w:marTop w:val="0"/>
      <w:marBottom w:val="0"/>
      <w:divBdr>
        <w:top w:val="none" w:sz="0" w:space="0" w:color="auto"/>
        <w:left w:val="none" w:sz="0" w:space="0" w:color="auto"/>
        <w:bottom w:val="none" w:sz="0" w:space="0" w:color="auto"/>
        <w:right w:val="none" w:sz="0" w:space="0" w:color="auto"/>
      </w:divBdr>
    </w:div>
    <w:div w:id="443113761">
      <w:bodyDiv w:val="1"/>
      <w:marLeft w:val="0"/>
      <w:marRight w:val="0"/>
      <w:marTop w:val="0"/>
      <w:marBottom w:val="0"/>
      <w:divBdr>
        <w:top w:val="none" w:sz="0" w:space="0" w:color="auto"/>
        <w:left w:val="none" w:sz="0" w:space="0" w:color="auto"/>
        <w:bottom w:val="none" w:sz="0" w:space="0" w:color="auto"/>
        <w:right w:val="none" w:sz="0" w:space="0" w:color="auto"/>
      </w:divBdr>
    </w:div>
    <w:div w:id="467941131">
      <w:bodyDiv w:val="1"/>
      <w:marLeft w:val="0"/>
      <w:marRight w:val="0"/>
      <w:marTop w:val="0"/>
      <w:marBottom w:val="0"/>
      <w:divBdr>
        <w:top w:val="none" w:sz="0" w:space="0" w:color="auto"/>
        <w:left w:val="none" w:sz="0" w:space="0" w:color="auto"/>
        <w:bottom w:val="none" w:sz="0" w:space="0" w:color="auto"/>
        <w:right w:val="none" w:sz="0" w:space="0" w:color="auto"/>
      </w:divBdr>
    </w:div>
    <w:div w:id="708649395">
      <w:bodyDiv w:val="1"/>
      <w:marLeft w:val="0"/>
      <w:marRight w:val="0"/>
      <w:marTop w:val="0"/>
      <w:marBottom w:val="0"/>
      <w:divBdr>
        <w:top w:val="none" w:sz="0" w:space="0" w:color="auto"/>
        <w:left w:val="none" w:sz="0" w:space="0" w:color="auto"/>
        <w:bottom w:val="none" w:sz="0" w:space="0" w:color="auto"/>
        <w:right w:val="none" w:sz="0" w:space="0" w:color="auto"/>
      </w:divBdr>
      <w:divsChild>
        <w:div w:id="315836805">
          <w:marLeft w:val="1037"/>
          <w:marRight w:val="0"/>
          <w:marTop w:val="19"/>
          <w:marBottom w:val="0"/>
          <w:divBdr>
            <w:top w:val="none" w:sz="0" w:space="0" w:color="auto"/>
            <w:left w:val="none" w:sz="0" w:space="0" w:color="auto"/>
            <w:bottom w:val="none" w:sz="0" w:space="0" w:color="auto"/>
            <w:right w:val="none" w:sz="0" w:space="0" w:color="auto"/>
          </w:divBdr>
        </w:div>
        <w:div w:id="565335499">
          <w:marLeft w:val="1037"/>
          <w:marRight w:val="0"/>
          <w:marTop w:val="19"/>
          <w:marBottom w:val="0"/>
          <w:divBdr>
            <w:top w:val="none" w:sz="0" w:space="0" w:color="auto"/>
            <w:left w:val="none" w:sz="0" w:space="0" w:color="auto"/>
            <w:bottom w:val="none" w:sz="0" w:space="0" w:color="auto"/>
            <w:right w:val="none" w:sz="0" w:space="0" w:color="auto"/>
          </w:divBdr>
        </w:div>
        <w:div w:id="1216625839">
          <w:marLeft w:val="1037"/>
          <w:marRight w:val="0"/>
          <w:marTop w:val="19"/>
          <w:marBottom w:val="0"/>
          <w:divBdr>
            <w:top w:val="none" w:sz="0" w:space="0" w:color="auto"/>
            <w:left w:val="none" w:sz="0" w:space="0" w:color="auto"/>
            <w:bottom w:val="none" w:sz="0" w:space="0" w:color="auto"/>
            <w:right w:val="none" w:sz="0" w:space="0" w:color="auto"/>
          </w:divBdr>
        </w:div>
      </w:divsChild>
    </w:div>
    <w:div w:id="893394553">
      <w:bodyDiv w:val="1"/>
      <w:marLeft w:val="0"/>
      <w:marRight w:val="0"/>
      <w:marTop w:val="0"/>
      <w:marBottom w:val="0"/>
      <w:divBdr>
        <w:top w:val="none" w:sz="0" w:space="0" w:color="auto"/>
        <w:left w:val="none" w:sz="0" w:space="0" w:color="auto"/>
        <w:bottom w:val="none" w:sz="0" w:space="0" w:color="auto"/>
        <w:right w:val="none" w:sz="0" w:space="0" w:color="auto"/>
      </w:divBdr>
      <w:divsChild>
        <w:div w:id="134105174">
          <w:marLeft w:val="274"/>
          <w:marRight w:val="0"/>
          <w:marTop w:val="20"/>
          <w:marBottom w:val="0"/>
          <w:divBdr>
            <w:top w:val="none" w:sz="0" w:space="0" w:color="auto"/>
            <w:left w:val="none" w:sz="0" w:space="0" w:color="auto"/>
            <w:bottom w:val="none" w:sz="0" w:space="0" w:color="auto"/>
            <w:right w:val="none" w:sz="0" w:space="0" w:color="auto"/>
          </w:divBdr>
        </w:div>
        <w:div w:id="665213075">
          <w:marLeft w:val="274"/>
          <w:marRight w:val="0"/>
          <w:marTop w:val="20"/>
          <w:marBottom w:val="0"/>
          <w:divBdr>
            <w:top w:val="none" w:sz="0" w:space="0" w:color="auto"/>
            <w:left w:val="none" w:sz="0" w:space="0" w:color="auto"/>
            <w:bottom w:val="none" w:sz="0" w:space="0" w:color="auto"/>
            <w:right w:val="none" w:sz="0" w:space="0" w:color="auto"/>
          </w:divBdr>
        </w:div>
        <w:div w:id="1251817567">
          <w:marLeft w:val="274"/>
          <w:marRight w:val="0"/>
          <w:marTop w:val="20"/>
          <w:marBottom w:val="0"/>
          <w:divBdr>
            <w:top w:val="none" w:sz="0" w:space="0" w:color="auto"/>
            <w:left w:val="none" w:sz="0" w:space="0" w:color="auto"/>
            <w:bottom w:val="none" w:sz="0" w:space="0" w:color="auto"/>
            <w:right w:val="none" w:sz="0" w:space="0" w:color="auto"/>
          </w:divBdr>
        </w:div>
        <w:div w:id="1636910074">
          <w:marLeft w:val="274"/>
          <w:marRight w:val="0"/>
          <w:marTop w:val="20"/>
          <w:marBottom w:val="0"/>
          <w:divBdr>
            <w:top w:val="none" w:sz="0" w:space="0" w:color="auto"/>
            <w:left w:val="none" w:sz="0" w:space="0" w:color="auto"/>
            <w:bottom w:val="none" w:sz="0" w:space="0" w:color="auto"/>
            <w:right w:val="none" w:sz="0" w:space="0" w:color="auto"/>
          </w:divBdr>
        </w:div>
      </w:divsChild>
    </w:div>
    <w:div w:id="1083719458">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516462721">
      <w:bodyDiv w:val="1"/>
      <w:marLeft w:val="0"/>
      <w:marRight w:val="0"/>
      <w:marTop w:val="0"/>
      <w:marBottom w:val="0"/>
      <w:divBdr>
        <w:top w:val="none" w:sz="0" w:space="0" w:color="auto"/>
        <w:left w:val="none" w:sz="0" w:space="0" w:color="auto"/>
        <w:bottom w:val="none" w:sz="0" w:space="0" w:color="auto"/>
        <w:right w:val="none" w:sz="0" w:space="0" w:color="auto"/>
      </w:divBdr>
      <w:divsChild>
        <w:div w:id="148638156">
          <w:marLeft w:val="1037"/>
          <w:marRight w:val="0"/>
          <w:marTop w:val="19"/>
          <w:marBottom w:val="0"/>
          <w:divBdr>
            <w:top w:val="none" w:sz="0" w:space="0" w:color="auto"/>
            <w:left w:val="none" w:sz="0" w:space="0" w:color="auto"/>
            <w:bottom w:val="none" w:sz="0" w:space="0" w:color="auto"/>
            <w:right w:val="none" w:sz="0" w:space="0" w:color="auto"/>
          </w:divBdr>
        </w:div>
        <w:div w:id="879777740">
          <w:marLeft w:val="1037"/>
          <w:marRight w:val="0"/>
          <w:marTop w:val="19"/>
          <w:marBottom w:val="0"/>
          <w:divBdr>
            <w:top w:val="none" w:sz="0" w:space="0" w:color="auto"/>
            <w:left w:val="none" w:sz="0" w:space="0" w:color="auto"/>
            <w:bottom w:val="none" w:sz="0" w:space="0" w:color="auto"/>
            <w:right w:val="none" w:sz="0" w:space="0" w:color="auto"/>
          </w:divBdr>
        </w:div>
        <w:div w:id="1902522347">
          <w:marLeft w:val="1037"/>
          <w:marRight w:val="0"/>
          <w:marTop w:val="19"/>
          <w:marBottom w:val="0"/>
          <w:divBdr>
            <w:top w:val="none" w:sz="0" w:space="0" w:color="auto"/>
            <w:left w:val="none" w:sz="0" w:space="0" w:color="auto"/>
            <w:bottom w:val="none" w:sz="0" w:space="0" w:color="auto"/>
            <w:right w:val="none" w:sz="0" w:space="0" w:color="auto"/>
          </w:divBdr>
        </w:div>
      </w:divsChild>
    </w:div>
    <w:div w:id="1748846368">
      <w:bodyDiv w:val="1"/>
      <w:marLeft w:val="0"/>
      <w:marRight w:val="0"/>
      <w:marTop w:val="0"/>
      <w:marBottom w:val="0"/>
      <w:divBdr>
        <w:top w:val="none" w:sz="0" w:space="0" w:color="auto"/>
        <w:left w:val="none" w:sz="0" w:space="0" w:color="auto"/>
        <w:bottom w:val="none" w:sz="0" w:space="0" w:color="auto"/>
        <w:right w:val="none" w:sz="0" w:space="0" w:color="auto"/>
      </w:divBdr>
    </w:div>
    <w:div w:id="1821848816">
      <w:bodyDiv w:val="1"/>
      <w:marLeft w:val="0"/>
      <w:marRight w:val="0"/>
      <w:marTop w:val="0"/>
      <w:marBottom w:val="0"/>
      <w:divBdr>
        <w:top w:val="none" w:sz="0" w:space="0" w:color="auto"/>
        <w:left w:val="none" w:sz="0" w:space="0" w:color="auto"/>
        <w:bottom w:val="none" w:sz="0" w:space="0" w:color="auto"/>
        <w:right w:val="none" w:sz="0" w:space="0" w:color="auto"/>
      </w:divBdr>
    </w:div>
    <w:div w:id="1845363196">
      <w:bodyDiv w:val="1"/>
      <w:marLeft w:val="0"/>
      <w:marRight w:val="0"/>
      <w:marTop w:val="0"/>
      <w:marBottom w:val="0"/>
      <w:divBdr>
        <w:top w:val="none" w:sz="0" w:space="0" w:color="auto"/>
        <w:left w:val="none" w:sz="0" w:space="0" w:color="auto"/>
        <w:bottom w:val="none" w:sz="0" w:space="0" w:color="auto"/>
        <w:right w:val="none" w:sz="0" w:space="0" w:color="auto"/>
      </w:divBdr>
      <w:divsChild>
        <w:div w:id="117184240">
          <w:marLeft w:val="274"/>
          <w:marRight w:val="0"/>
          <w:marTop w:val="20"/>
          <w:marBottom w:val="0"/>
          <w:divBdr>
            <w:top w:val="none" w:sz="0" w:space="0" w:color="auto"/>
            <w:left w:val="none" w:sz="0" w:space="0" w:color="auto"/>
            <w:bottom w:val="none" w:sz="0" w:space="0" w:color="auto"/>
            <w:right w:val="none" w:sz="0" w:space="0" w:color="auto"/>
          </w:divBdr>
        </w:div>
        <w:div w:id="523901253">
          <w:marLeft w:val="274"/>
          <w:marRight w:val="0"/>
          <w:marTop w:val="20"/>
          <w:marBottom w:val="0"/>
          <w:divBdr>
            <w:top w:val="none" w:sz="0" w:space="0" w:color="auto"/>
            <w:left w:val="none" w:sz="0" w:space="0" w:color="auto"/>
            <w:bottom w:val="none" w:sz="0" w:space="0" w:color="auto"/>
            <w:right w:val="none" w:sz="0" w:space="0" w:color="auto"/>
          </w:divBdr>
        </w:div>
        <w:div w:id="624701307">
          <w:marLeft w:val="274"/>
          <w:marRight w:val="0"/>
          <w:marTop w:val="20"/>
          <w:marBottom w:val="0"/>
          <w:divBdr>
            <w:top w:val="none" w:sz="0" w:space="0" w:color="auto"/>
            <w:left w:val="none" w:sz="0" w:space="0" w:color="auto"/>
            <w:bottom w:val="none" w:sz="0" w:space="0" w:color="auto"/>
            <w:right w:val="none" w:sz="0" w:space="0" w:color="auto"/>
          </w:divBdr>
        </w:div>
        <w:div w:id="2071031772">
          <w:marLeft w:val="274"/>
          <w:marRight w:val="0"/>
          <w:marTop w:val="20"/>
          <w:marBottom w:val="0"/>
          <w:divBdr>
            <w:top w:val="none" w:sz="0" w:space="0" w:color="auto"/>
            <w:left w:val="none" w:sz="0" w:space="0" w:color="auto"/>
            <w:bottom w:val="none" w:sz="0" w:space="0" w:color="auto"/>
            <w:right w:val="none" w:sz="0" w:space="0" w:color="auto"/>
          </w:divBdr>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5844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3.xml><?xml version="1.0" encoding="utf-8"?>
<ds:datastoreItem xmlns:ds="http://schemas.openxmlformats.org/officeDocument/2006/customXml" ds:itemID="{DFA16CC5-5FCF-41BA-B019-8AE0B9283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2808</Words>
  <Characters>16010</Characters>
  <Application>Microsoft Office Word</Application>
  <DocSecurity>0</DocSecurity>
  <Lines>133</Lines>
  <Paragraphs>37</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Smuda, Yannick (000)</dc:creator>
  <cp:keywords/>
  <dc:description/>
  <cp:lastModifiedBy>Odinzoff, Vadim (183)</cp:lastModifiedBy>
  <cp:revision>12</cp:revision>
  <cp:lastPrinted>2025-09-15T09:27:00Z</cp:lastPrinted>
  <dcterms:created xsi:type="dcterms:W3CDTF">2025-10-22T08:18:00Z</dcterms:created>
  <dcterms:modified xsi:type="dcterms:W3CDTF">2025-10-22T08:35:00Z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